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楷体" w:hAnsi="楷体" w:eastAsia="楷体" w:cs="楷体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="楷体" w:hAnsi="楷体" w:eastAsia="楷体" w:cs="楷体"/>
          <w:b/>
          <w:bCs/>
          <w:color w:val="000000"/>
          <w:sz w:val="36"/>
          <w:szCs w:val="36"/>
        </w:rPr>
        <w:t>体能测试、岗位适应性测试项目及标准（暂行）</w:t>
      </w:r>
    </w:p>
    <w:bookmarkEnd w:id="0"/>
    <w:p>
      <w:pPr>
        <w:pStyle w:val="2"/>
        <w:jc w:val="both"/>
        <w:rPr>
          <w:rFonts w:hint="eastAsia" w:eastAsia="仿宋_GB2312"/>
          <w:color w:val="000000"/>
          <w:szCs w:val="32"/>
        </w:rPr>
      </w:pPr>
    </w:p>
    <w:tbl>
      <w:tblPr>
        <w:tblStyle w:val="3"/>
        <w:tblW w:w="958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9"/>
        <w:gridCol w:w="908"/>
        <w:gridCol w:w="905"/>
        <w:gridCol w:w="779"/>
        <w:gridCol w:w="779"/>
        <w:gridCol w:w="780"/>
        <w:gridCol w:w="779"/>
        <w:gridCol w:w="779"/>
        <w:gridCol w:w="779"/>
        <w:gridCol w:w="781"/>
        <w:gridCol w:w="780"/>
        <w:gridCol w:w="81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958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32"/>
                <w:szCs w:val="32"/>
              </w:rPr>
              <w:t>一、体能测试项目及标准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jc w:val="center"/>
        </w:trPr>
        <w:tc>
          <w:tcPr>
            <w:tcW w:w="1627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  <w:t>项目</w:t>
            </w:r>
          </w:p>
        </w:tc>
        <w:tc>
          <w:tcPr>
            <w:tcW w:w="7953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  <w:t>测试成绩对应分值、测试办法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627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spacing w:line="630" w:lineRule="atLeast"/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  <w:t>1分</w:t>
            </w:r>
          </w:p>
        </w:tc>
        <w:tc>
          <w:tcPr>
            <w:tcW w:w="7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  <w:t>2分</w:t>
            </w:r>
          </w:p>
        </w:tc>
        <w:tc>
          <w:tcPr>
            <w:tcW w:w="7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  <w:t>3分</w:t>
            </w:r>
          </w:p>
        </w:tc>
        <w:tc>
          <w:tcPr>
            <w:tcW w:w="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  <w:t>4分</w:t>
            </w:r>
          </w:p>
        </w:tc>
        <w:tc>
          <w:tcPr>
            <w:tcW w:w="7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  <w:t>5分</w:t>
            </w:r>
          </w:p>
        </w:tc>
        <w:tc>
          <w:tcPr>
            <w:tcW w:w="7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  <w:t>6分</w:t>
            </w:r>
          </w:p>
        </w:tc>
        <w:tc>
          <w:tcPr>
            <w:tcW w:w="7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  <w:t>7分</w:t>
            </w:r>
          </w:p>
        </w:tc>
        <w:tc>
          <w:tcPr>
            <w:tcW w:w="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  <w:t>8分</w:t>
            </w:r>
          </w:p>
        </w:tc>
        <w:tc>
          <w:tcPr>
            <w:tcW w:w="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  <w:t>9分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  <w:t>10分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719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63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  <w:t>男   性</w:t>
            </w:r>
          </w:p>
        </w:tc>
        <w:tc>
          <w:tcPr>
            <w:tcW w:w="90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  <w:t>单杠引体向上（次/3分钟）</w:t>
            </w:r>
          </w:p>
        </w:tc>
        <w:tc>
          <w:tcPr>
            <w:tcW w:w="9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  <w:color w:val="333333"/>
                <w:kern w:val="0"/>
                <w:sz w:val="24"/>
                <w:szCs w:val="24"/>
              </w:rPr>
            </w:pPr>
            <w:r>
              <w:rPr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7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333333"/>
                <w:kern w:val="0"/>
                <w:sz w:val="24"/>
                <w:szCs w:val="24"/>
              </w:rPr>
            </w:pPr>
            <w:r>
              <w:rPr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7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333333"/>
                <w:kern w:val="0"/>
                <w:sz w:val="24"/>
                <w:szCs w:val="24"/>
              </w:rPr>
            </w:pPr>
            <w:r>
              <w:rPr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333333"/>
                <w:kern w:val="0"/>
                <w:sz w:val="24"/>
                <w:szCs w:val="24"/>
              </w:rPr>
            </w:pPr>
            <w:r>
              <w:rPr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7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333333"/>
                <w:kern w:val="0"/>
                <w:sz w:val="24"/>
                <w:szCs w:val="24"/>
              </w:rPr>
            </w:pPr>
            <w:r>
              <w:rPr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7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333333"/>
                <w:kern w:val="0"/>
                <w:sz w:val="24"/>
                <w:szCs w:val="24"/>
              </w:rPr>
            </w:pPr>
            <w:r>
              <w:rPr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7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333333"/>
                <w:kern w:val="0"/>
                <w:sz w:val="24"/>
                <w:szCs w:val="24"/>
              </w:rPr>
            </w:pPr>
            <w:r>
              <w:rPr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333333"/>
                <w:kern w:val="0"/>
                <w:sz w:val="24"/>
                <w:szCs w:val="24"/>
              </w:rPr>
            </w:pPr>
            <w:r>
              <w:rPr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333333"/>
                <w:kern w:val="0"/>
                <w:sz w:val="24"/>
                <w:szCs w:val="24"/>
              </w:rPr>
            </w:pPr>
            <w:r>
              <w:rPr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8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333333"/>
                <w:kern w:val="0"/>
                <w:sz w:val="24"/>
                <w:szCs w:val="24"/>
              </w:rPr>
            </w:pPr>
            <w:r>
              <w:rPr>
                <w:color w:val="333333"/>
                <w:kern w:val="0"/>
                <w:sz w:val="24"/>
                <w:szCs w:val="24"/>
              </w:rPr>
              <w:t>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4" w:hRule="atLeast"/>
          <w:jc w:val="center"/>
        </w:trPr>
        <w:tc>
          <w:tcPr>
            <w:tcW w:w="719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53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  <w:t>1.单个或分组考核。 2.按照规定动作要领完成动作。引体时下颌高于杠面、身体不得借助振浪或摆动、悬垂时双肘关节伸直；脚触及地面或立柱，结束考核。 3.考核以完成次数计算成绩。 4.得分超出10分的，每递增1次增加1分。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719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  <w:t>10米×4往返跑（秒）</w:t>
            </w:r>
          </w:p>
        </w:tc>
        <w:tc>
          <w:tcPr>
            <w:tcW w:w="9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333333"/>
                <w:kern w:val="0"/>
                <w:sz w:val="24"/>
                <w:szCs w:val="24"/>
              </w:rPr>
            </w:pPr>
            <w:r>
              <w:rPr>
                <w:color w:val="333333"/>
                <w:kern w:val="0"/>
                <w:sz w:val="24"/>
                <w:szCs w:val="24"/>
              </w:rPr>
              <w:t>13″10</w:t>
            </w:r>
          </w:p>
        </w:tc>
        <w:tc>
          <w:tcPr>
            <w:tcW w:w="7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333333"/>
                <w:kern w:val="0"/>
                <w:sz w:val="24"/>
                <w:szCs w:val="24"/>
              </w:rPr>
            </w:pPr>
            <w:r>
              <w:rPr>
                <w:color w:val="333333"/>
                <w:kern w:val="0"/>
                <w:sz w:val="24"/>
                <w:szCs w:val="24"/>
              </w:rPr>
              <w:t>13″7</w:t>
            </w:r>
          </w:p>
        </w:tc>
        <w:tc>
          <w:tcPr>
            <w:tcW w:w="7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333333"/>
                <w:kern w:val="0"/>
                <w:sz w:val="24"/>
                <w:szCs w:val="24"/>
              </w:rPr>
            </w:pPr>
            <w:r>
              <w:rPr>
                <w:color w:val="333333"/>
                <w:kern w:val="0"/>
                <w:sz w:val="24"/>
                <w:szCs w:val="24"/>
              </w:rPr>
              <w:t>13″5</w:t>
            </w:r>
          </w:p>
        </w:tc>
        <w:tc>
          <w:tcPr>
            <w:tcW w:w="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333333"/>
                <w:kern w:val="0"/>
                <w:sz w:val="24"/>
                <w:szCs w:val="24"/>
              </w:rPr>
            </w:pPr>
            <w:r>
              <w:rPr>
                <w:color w:val="333333"/>
                <w:kern w:val="0"/>
                <w:sz w:val="24"/>
                <w:szCs w:val="24"/>
              </w:rPr>
              <w:t>13″3</w:t>
            </w:r>
          </w:p>
        </w:tc>
        <w:tc>
          <w:tcPr>
            <w:tcW w:w="7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333333"/>
                <w:kern w:val="0"/>
                <w:sz w:val="24"/>
                <w:szCs w:val="24"/>
              </w:rPr>
            </w:pPr>
            <w:r>
              <w:rPr>
                <w:color w:val="333333"/>
                <w:kern w:val="0"/>
                <w:sz w:val="24"/>
                <w:szCs w:val="24"/>
              </w:rPr>
              <w:t>12″9</w:t>
            </w:r>
          </w:p>
        </w:tc>
        <w:tc>
          <w:tcPr>
            <w:tcW w:w="7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333333"/>
                <w:kern w:val="0"/>
                <w:sz w:val="24"/>
                <w:szCs w:val="24"/>
              </w:rPr>
            </w:pPr>
            <w:r>
              <w:rPr>
                <w:color w:val="333333"/>
                <w:kern w:val="0"/>
                <w:sz w:val="24"/>
                <w:szCs w:val="24"/>
              </w:rPr>
              <w:t>12″7</w:t>
            </w:r>
          </w:p>
        </w:tc>
        <w:tc>
          <w:tcPr>
            <w:tcW w:w="7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333333"/>
                <w:kern w:val="0"/>
                <w:sz w:val="24"/>
                <w:szCs w:val="24"/>
              </w:rPr>
            </w:pPr>
            <w:r>
              <w:rPr>
                <w:color w:val="333333"/>
                <w:kern w:val="0"/>
                <w:sz w:val="24"/>
                <w:szCs w:val="24"/>
              </w:rPr>
              <w:t>12″5</w:t>
            </w:r>
          </w:p>
        </w:tc>
        <w:tc>
          <w:tcPr>
            <w:tcW w:w="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333333"/>
                <w:kern w:val="0"/>
                <w:sz w:val="24"/>
                <w:szCs w:val="24"/>
              </w:rPr>
            </w:pPr>
            <w:r>
              <w:rPr>
                <w:color w:val="333333"/>
                <w:kern w:val="0"/>
                <w:sz w:val="24"/>
                <w:szCs w:val="24"/>
              </w:rPr>
              <w:t>12″3</w:t>
            </w:r>
          </w:p>
        </w:tc>
        <w:tc>
          <w:tcPr>
            <w:tcW w:w="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333333"/>
                <w:kern w:val="0"/>
                <w:sz w:val="24"/>
                <w:szCs w:val="24"/>
              </w:rPr>
            </w:pPr>
            <w:r>
              <w:rPr>
                <w:color w:val="333333"/>
                <w:kern w:val="0"/>
                <w:sz w:val="24"/>
                <w:szCs w:val="24"/>
              </w:rPr>
              <w:t>11″9</w:t>
            </w:r>
          </w:p>
        </w:tc>
        <w:tc>
          <w:tcPr>
            <w:tcW w:w="8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333333"/>
                <w:kern w:val="0"/>
                <w:sz w:val="24"/>
                <w:szCs w:val="24"/>
              </w:rPr>
            </w:pPr>
            <w:r>
              <w:rPr>
                <w:color w:val="333333"/>
                <w:kern w:val="0"/>
                <w:sz w:val="24"/>
                <w:szCs w:val="24"/>
              </w:rPr>
              <w:t>10″3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4" w:hRule="atLeast"/>
          <w:jc w:val="center"/>
        </w:trPr>
        <w:tc>
          <w:tcPr>
            <w:tcW w:w="719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53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  <w:t>1.单个或分组考核。 2.在10米长的跑道上标出起点线和折返线，考生从起点线处听到起跑口令后起跑，在折返线处返回跑向起跑线，到达起跑线时为完成1次往返。连续完成2次往返，记录时间。 3.考核以完成时间计算成绩。 4.得分超出10分的，每递减0.1秒增加1分。 5.高原地区按照上述内地标准增加1秒。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719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  <w:t>1000米跑（分、秒）</w:t>
            </w:r>
          </w:p>
        </w:tc>
        <w:tc>
          <w:tcPr>
            <w:tcW w:w="9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333333"/>
                <w:kern w:val="0"/>
                <w:sz w:val="24"/>
                <w:szCs w:val="24"/>
              </w:rPr>
            </w:pPr>
            <w:r>
              <w:rPr>
                <w:color w:val="333333"/>
                <w:kern w:val="0"/>
                <w:sz w:val="24"/>
                <w:szCs w:val="24"/>
              </w:rPr>
              <w:t>4′25″</w:t>
            </w:r>
          </w:p>
        </w:tc>
        <w:tc>
          <w:tcPr>
            <w:tcW w:w="7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333333"/>
                <w:kern w:val="0"/>
                <w:sz w:val="24"/>
                <w:szCs w:val="24"/>
              </w:rPr>
            </w:pPr>
            <w:r>
              <w:rPr>
                <w:color w:val="333333"/>
                <w:kern w:val="0"/>
                <w:sz w:val="24"/>
                <w:szCs w:val="24"/>
              </w:rPr>
              <w:t>4′20″</w:t>
            </w:r>
          </w:p>
        </w:tc>
        <w:tc>
          <w:tcPr>
            <w:tcW w:w="7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333333"/>
                <w:kern w:val="0"/>
                <w:sz w:val="24"/>
                <w:szCs w:val="24"/>
              </w:rPr>
            </w:pPr>
            <w:r>
              <w:rPr>
                <w:color w:val="333333"/>
                <w:kern w:val="0"/>
                <w:sz w:val="24"/>
                <w:szCs w:val="24"/>
              </w:rPr>
              <w:t>4′15″</w:t>
            </w:r>
          </w:p>
        </w:tc>
        <w:tc>
          <w:tcPr>
            <w:tcW w:w="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333333"/>
                <w:kern w:val="0"/>
                <w:sz w:val="24"/>
                <w:szCs w:val="24"/>
              </w:rPr>
            </w:pPr>
            <w:r>
              <w:rPr>
                <w:color w:val="333333"/>
                <w:kern w:val="0"/>
                <w:sz w:val="24"/>
                <w:szCs w:val="24"/>
              </w:rPr>
              <w:t>4′10″</w:t>
            </w:r>
          </w:p>
        </w:tc>
        <w:tc>
          <w:tcPr>
            <w:tcW w:w="7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333333"/>
                <w:kern w:val="0"/>
                <w:sz w:val="24"/>
                <w:szCs w:val="24"/>
              </w:rPr>
            </w:pPr>
            <w:r>
              <w:rPr>
                <w:color w:val="333333"/>
                <w:kern w:val="0"/>
                <w:sz w:val="24"/>
                <w:szCs w:val="24"/>
              </w:rPr>
              <w:t>4′05″</w:t>
            </w:r>
          </w:p>
        </w:tc>
        <w:tc>
          <w:tcPr>
            <w:tcW w:w="7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333333"/>
                <w:kern w:val="0"/>
                <w:sz w:val="24"/>
                <w:szCs w:val="24"/>
              </w:rPr>
            </w:pPr>
            <w:r>
              <w:rPr>
                <w:color w:val="333333"/>
                <w:kern w:val="0"/>
                <w:sz w:val="24"/>
                <w:szCs w:val="24"/>
              </w:rPr>
              <w:t>4′00″</w:t>
            </w:r>
          </w:p>
        </w:tc>
        <w:tc>
          <w:tcPr>
            <w:tcW w:w="7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333333"/>
                <w:kern w:val="0"/>
                <w:sz w:val="24"/>
                <w:szCs w:val="24"/>
              </w:rPr>
            </w:pPr>
            <w:r>
              <w:rPr>
                <w:color w:val="333333"/>
                <w:kern w:val="0"/>
                <w:sz w:val="24"/>
                <w:szCs w:val="24"/>
              </w:rPr>
              <w:t>3′55″</w:t>
            </w:r>
          </w:p>
        </w:tc>
        <w:tc>
          <w:tcPr>
            <w:tcW w:w="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333333"/>
                <w:kern w:val="0"/>
                <w:sz w:val="24"/>
                <w:szCs w:val="24"/>
              </w:rPr>
            </w:pPr>
            <w:r>
              <w:rPr>
                <w:color w:val="333333"/>
                <w:kern w:val="0"/>
                <w:sz w:val="24"/>
                <w:szCs w:val="24"/>
              </w:rPr>
              <w:t>3′50″</w:t>
            </w:r>
          </w:p>
        </w:tc>
        <w:tc>
          <w:tcPr>
            <w:tcW w:w="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333333"/>
                <w:kern w:val="0"/>
                <w:sz w:val="24"/>
                <w:szCs w:val="24"/>
              </w:rPr>
            </w:pPr>
            <w:r>
              <w:rPr>
                <w:color w:val="333333"/>
                <w:kern w:val="0"/>
                <w:sz w:val="24"/>
                <w:szCs w:val="24"/>
              </w:rPr>
              <w:t>3′45″</w:t>
            </w:r>
          </w:p>
        </w:tc>
        <w:tc>
          <w:tcPr>
            <w:tcW w:w="8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333333"/>
                <w:kern w:val="0"/>
                <w:sz w:val="24"/>
                <w:szCs w:val="24"/>
              </w:rPr>
            </w:pPr>
            <w:r>
              <w:rPr>
                <w:color w:val="333333"/>
                <w:kern w:val="0"/>
                <w:sz w:val="24"/>
                <w:szCs w:val="24"/>
              </w:rPr>
              <w:t>3′40″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4" w:hRule="atLeast"/>
          <w:jc w:val="center"/>
        </w:trPr>
        <w:tc>
          <w:tcPr>
            <w:tcW w:w="719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53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  <w:t>1.分组考核。 2.在跑道或平地上标出起点线，考生从起点线处听到起跑口令后起跑，完成1000米距离到达终点线，记录时间。 3.考核以完成时间计算成绩。 4.得分超出10分的，每递减5秒增加1分。 5.海拔2100-3000米，每增加100米高度标准递增3秒，3100-4000米，每增加100米高度标准递增4秒。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719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  <w:t>原地跳高（厘米）</w:t>
            </w:r>
          </w:p>
        </w:tc>
        <w:tc>
          <w:tcPr>
            <w:tcW w:w="9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333333"/>
                <w:kern w:val="0"/>
                <w:sz w:val="24"/>
                <w:szCs w:val="24"/>
              </w:rPr>
            </w:pPr>
            <w:r>
              <w:rPr>
                <w:color w:val="333333"/>
                <w:kern w:val="0"/>
                <w:sz w:val="24"/>
                <w:szCs w:val="24"/>
              </w:rPr>
              <w:t>45</w:t>
            </w:r>
          </w:p>
        </w:tc>
        <w:tc>
          <w:tcPr>
            <w:tcW w:w="7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333333"/>
                <w:kern w:val="0"/>
                <w:sz w:val="24"/>
                <w:szCs w:val="24"/>
              </w:rPr>
            </w:pPr>
            <w:r>
              <w:rPr>
                <w:color w:val="333333"/>
                <w:kern w:val="0"/>
                <w:sz w:val="24"/>
                <w:szCs w:val="24"/>
              </w:rPr>
              <w:t>47</w:t>
            </w:r>
          </w:p>
        </w:tc>
        <w:tc>
          <w:tcPr>
            <w:tcW w:w="7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333333"/>
                <w:kern w:val="0"/>
                <w:sz w:val="24"/>
                <w:szCs w:val="24"/>
              </w:rPr>
            </w:pPr>
            <w:r>
              <w:rPr>
                <w:color w:val="333333"/>
                <w:kern w:val="0"/>
                <w:sz w:val="24"/>
                <w:szCs w:val="24"/>
              </w:rPr>
              <w:t>50</w:t>
            </w:r>
          </w:p>
        </w:tc>
        <w:tc>
          <w:tcPr>
            <w:tcW w:w="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333333"/>
                <w:kern w:val="0"/>
                <w:sz w:val="24"/>
                <w:szCs w:val="24"/>
              </w:rPr>
            </w:pPr>
            <w:r>
              <w:rPr>
                <w:color w:val="333333"/>
                <w:kern w:val="0"/>
                <w:sz w:val="24"/>
                <w:szCs w:val="24"/>
              </w:rPr>
              <w:t>53</w:t>
            </w:r>
          </w:p>
        </w:tc>
        <w:tc>
          <w:tcPr>
            <w:tcW w:w="7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333333"/>
                <w:kern w:val="0"/>
                <w:sz w:val="24"/>
                <w:szCs w:val="24"/>
              </w:rPr>
            </w:pPr>
            <w:r>
              <w:rPr>
                <w:color w:val="333333"/>
                <w:kern w:val="0"/>
                <w:sz w:val="24"/>
                <w:szCs w:val="24"/>
              </w:rPr>
              <w:t>55</w:t>
            </w:r>
          </w:p>
        </w:tc>
        <w:tc>
          <w:tcPr>
            <w:tcW w:w="7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333333"/>
                <w:kern w:val="0"/>
                <w:sz w:val="24"/>
                <w:szCs w:val="24"/>
              </w:rPr>
            </w:pPr>
            <w:r>
              <w:rPr>
                <w:color w:val="333333"/>
                <w:kern w:val="0"/>
                <w:sz w:val="24"/>
                <w:szCs w:val="24"/>
              </w:rPr>
              <w:t>57</w:t>
            </w:r>
          </w:p>
        </w:tc>
        <w:tc>
          <w:tcPr>
            <w:tcW w:w="7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333333"/>
                <w:kern w:val="0"/>
                <w:sz w:val="24"/>
                <w:szCs w:val="24"/>
              </w:rPr>
            </w:pPr>
            <w:r>
              <w:rPr>
                <w:color w:val="333333"/>
                <w:kern w:val="0"/>
                <w:sz w:val="24"/>
                <w:szCs w:val="24"/>
              </w:rPr>
              <w:t>60</w:t>
            </w:r>
          </w:p>
        </w:tc>
        <w:tc>
          <w:tcPr>
            <w:tcW w:w="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333333"/>
                <w:kern w:val="0"/>
                <w:sz w:val="24"/>
                <w:szCs w:val="24"/>
              </w:rPr>
            </w:pPr>
            <w:r>
              <w:rPr>
                <w:color w:val="333333"/>
                <w:kern w:val="0"/>
                <w:sz w:val="24"/>
                <w:szCs w:val="24"/>
              </w:rPr>
              <w:t>63</w:t>
            </w:r>
          </w:p>
        </w:tc>
        <w:tc>
          <w:tcPr>
            <w:tcW w:w="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333333"/>
                <w:kern w:val="0"/>
                <w:sz w:val="24"/>
                <w:szCs w:val="24"/>
              </w:rPr>
            </w:pPr>
            <w:r>
              <w:rPr>
                <w:color w:val="333333"/>
                <w:kern w:val="0"/>
                <w:sz w:val="24"/>
                <w:szCs w:val="24"/>
              </w:rPr>
              <w:t>65</w:t>
            </w:r>
          </w:p>
        </w:tc>
        <w:tc>
          <w:tcPr>
            <w:tcW w:w="8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333333"/>
                <w:kern w:val="0"/>
                <w:sz w:val="24"/>
                <w:szCs w:val="24"/>
              </w:rPr>
            </w:pPr>
            <w:r>
              <w:rPr>
                <w:color w:val="333333"/>
                <w:kern w:val="0"/>
                <w:sz w:val="24"/>
                <w:szCs w:val="24"/>
              </w:rPr>
              <w:t>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4" w:hRule="atLeast"/>
          <w:jc w:val="center"/>
        </w:trPr>
        <w:tc>
          <w:tcPr>
            <w:tcW w:w="719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53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  <w:t>1.单个或分组考核。 2.考生双脚站立靠墙，单手伸直标记中指最高触墙点（示指高度），双脚立定垂直跳起，以单手指尖触墙，测量示指高度与跳起触墙高度之间的距离。两次测试，记录成绩较好的1次。 3.考核以完成跳起高度计算成绩。 4.得分超出10分的，每递增3厘米增加1分。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0" w:hRule="atLeast"/>
          <w:jc w:val="center"/>
        </w:trPr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63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  <w:t>备 注</w:t>
            </w:r>
          </w:p>
        </w:tc>
        <w:tc>
          <w:tcPr>
            <w:tcW w:w="8861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  <w:t>1.任一项达不到最低分值的视为“不合格”。 2.高原地区应在海拔4000米以下集中组织体能测试。 3.高原地区消防员招录中“单杠引体向上、原地跳高、屈膝仰卧起坐”按照内地标准执行。 4.测试项目及标准中“以上”“以下”均含本级、本数。</w:t>
            </w:r>
          </w:p>
        </w:tc>
      </w:tr>
    </w:tbl>
    <w:p>
      <w:pPr>
        <w:rPr>
          <w:rFonts w:hint="eastAsia"/>
          <w:sz w:val="44"/>
          <w:szCs w:val="44"/>
        </w:rPr>
      </w:pPr>
    </w:p>
    <w:tbl>
      <w:tblPr>
        <w:tblStyle w:val="3"/>
        <w:tblW w:w="926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8"/>
        <w:gridCol w:w="808"/>
        <w:gridCol w:w="4920"/>
        <w:gridCol w:w="817"/>
        <w:gridCol w:w="650"/>
        <w:gridCol w:w="700"/>
        <w:gridCol w:w="5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  <w:jc w:val="center"/>
        </w:trPr>
        <w:tc>
          <w:tcPr>
            <w:tcW w:w="92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32"/>
                <w:szCs w:val="32"/>
              </w:rPr>
              <w:t>二、岗位适应性测试项目和标准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  <w:jc w:val="center"/>
        </w:trPr>
        <w:tc>
          <w:tcPr>
            <w:tcW w:w="158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  <w:t>项  目</w:t>
            </w:r>
          </w:p>
        </w:tc>
        <w:tc>
          <w:tcPr>
            <w:tcW w:w="4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  <w:t>测试办法</w:t>
            </w:r>
          </w:p>
        </w:tc>
        <w:tc>
          <w:tcPr>
            <w:tcW w:w="8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  <w:t>优秀</w:t>
            </w:r>
          </w:p>
        </w:tc>
        <w:tc>
          <w:tcPr>
            <w:tcW w:w="6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  <w:t>良好</w:t>
            </w:r>
          </w:p>
        </w:tc>
        <w:tc>
          <w:tcPr>
            <w:tcW w:w="7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  <w:t>中等</w:t>
            </w:r>
          </w:p>
        </w:tc>
        <w:tc>
          <w:tcPr>
            <w:tcW w:w="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  <w:t>一般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0" w:hRule="atLeast"/>
          <w:jc w:val="center"/>
        </w:trPr>
        <w:tc>
          <w:tcPr>
            <w:tcW w:w="778" w:type="dxa"/>
            <w:vMerge w:val="restart"/>
            <w:shd w:val="clear" w:color="auto" w:fill="FFFFFF"/>
            <w:textDirection w:val="tbRlV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  <w:t>男   性</w:t>
            </w:r>
          </w:p>
        </w:tc>
        <w:tc>
          <w:tcPr>
            <w:tcW w:w="80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24"/>
                <w:szCs w:val="24"/>
              </w:rPr>
              <w:t>徒手组合练习</w:t>
            </w:r>
          </w:p>
        </w:tc>
        <w:tc>
          <w:tcPr>
            <w:tcW w:w="4920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  <w:t>考生佩戴消防头盔及消防安全腰带，</w:t>
            </w:r>
            <w:r>
              <w:rPr>
                <w:rFonts w:hint="eastAsia" w:ascii="Arial" w:hAnsi="Arial" w:cs="Arial"/>
                <w:color w:val="333333"/>
                <w:kern w:val="0"/>
                <w:sz w:val="24"/>
                <w:szCs w:val="24"/>
              </w:rPr>
              <w:t>由左右屈体转 20 次、屈膝两头起 20 次、击掌俯卧撑5 次、背手蛙跳25 米、仰卧手足走 25 米五个动作组成</w:t>
            </w:r>
            <w:r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  <w:t>。记录时间。</w:t>
            </w:r>
          </w:p>
        </w:tc>
        <w:tc>
          <w:tcPr>
            <w:tcW w:w="817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  <w:t>1′</w:t>
            </w:r>
            <w:r>
              <w:rPr>
                <w:rFonts w:hint="eastAsia" w:ascii="Arial" w:hAnsi="Arial" w:cs="Arial"/>
                <w:color w:val="333333"/>
                <w:kern w:val="0"/>
                <w:sz w:val="24"/>
                <w:szCs w:val="24"/>
              </w:rPr>
              <w:t>35</w:t>
            </w:r>
            <w:r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  <w:t>″</w:t>
            </w:r>
          </w:p>
        </w:tc>
        <w:tc>
          <w:tcPr>
            <w:tcW w:w="65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  <w:t>1′</w:t>
            </w:r>
            <w:r>
              <w:rPr>
                <w:rFonts w:hint="eastAsia" w:ascii="Arial" w:hAnsi="Arial" w:cs="Arial"/>
                <w:color w:val="333333"/>
                <w:kern w:val="0"/>
                <w:sz w:val="24"/>
                <w:szCs w:val="24"/>
              </w:rPr>
              <w:t>55</w:t>
            </w:r>
            <w:r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  <w:t>″</w:t>
            </w:r>
          </w:p>
        </w:tc>
        <w:tc>
          <w:tcPr>
            <w:tcW w:w="7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  <w:t>′</w:t>
            </w:r>
            <w:r>
              <w:rPr>
                <w:rFonts w:hint="eastAsia" w:ascii="Arial" w:hAnsi="Arial" w:cs="Arial"/>
                <w:color w:val="333333"/>
                <w:kern w:val="0"/>
                <w:sz w:val="24"/>
                <w:szCs w:val="24"/>
              </w:rPr>
              <w:t>20</w:t>
            </w:r>
            <w:r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  <w:t>″</w:t>
            </w:r>
          </w:p>
        </w:tc>
        <w:tc>
          <w:tcPr>
            <w:tcW w:w="587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  <w:t>′</w:t>
            </w:r>
            <w:r>
              <w:rPr>
                <w:rFonts w:hint="eastAsia" w:ascii="Arial" w:hAnsi="Arial" w:cs="Arial"/>
                <w:color w:val="333333"/>
                <w:kern w:val="0"/>
                <w:sz w:val="24"/>
                <w:szCs w:val="24"/>
              </w:rPr>
              <w:t>50</w:t>
            </w:r>
            <w:r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  <w:t>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5" w:hRule="atLeast"/>
          <w:jc w:val="center"/>
        </w:trPr>
        <w:tc>
          <w:tcPr>
            <w:tcW w:w="778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  <w:t>黑暗环境搜寻</w:t>
            </w:r>
          </w:p>
        </w:tc>
        <w:tc>
          <w:tcPr>
            <w:tcW w:w="4920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  <w:t> 考生穿着全套消防员防护装具，从长度为20米的封闭式L型通道一侧进入，以双手双膝匍匐前进的姿势从L型通道另一侧穿出。记录时间。</w:t>
            </w:r>
          </w:p>
        </w:tc>
        <w:tc>
          <w:tcPr>
            <w:tcW w:w="817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  <w:t>38″</w:t>
            </w:r>
          </w:p>
        </w:tc>
        <w:tc>
          <w:tcPr>
            <w:tcW w:w="65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  <w:t>40″</w:t>
            </w:r>
          </w:p>
        </w:tc>
        <w:tc>
          <w:tcPr>
            <w:tcW w:w="7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  <w:t>42″</w:t>
            </w:r>
          </w:p>
        </w:tc>
        <w:tc>
          <w:tcPr>
            <w:tcW w:w="587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  <w:t>45″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5" w:hRule="atLeast"/>
          <w:jc w:val="center"/>
        </w:trPr>
        <w:tc>
          <w:tcPr>
            <w:tcW w:w="778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  <w:t>拖拽</w:t>
            </w:r>
          </w:p>
        </w:tc>
        <w:tc>
          <w:tcPr>
            <w:tcW w:w="4920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  <w:t> 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817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  <w:t>12″</w:t>
            </w:r>
          </w:p>
        </w:tc>
        <w:tc>
          <w:tcPr>
            <w:tcW w:w="65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  <w:t>13″</w:t>
            </w:r>
          </w:p>
        </w:tc>
        <w:tc>
          <w:tcPr>
            <w:tcW w:w="7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  <w:t>14″</w:t>
            </w:r>
          </w:p>
        </w:tc>
        <w:tc>
          <w:tcPr>
            <w:tcW w:w="587" w:type="dxa"/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  <w:t>15″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3" w:hRule="atLeast"/>
          <w:jc w:val="center"/>
        </w:trPr>
        <w:tc>
          <w:tcPr>
            <w:tcW w:w="7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  <w:t>备 注</w:t>
            </w:r>
          </w:p>
        </w:tc>
        <w:tc>
          <w:tcPr>
            <w:tcW w:w="8482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  <w:t>1.任一项达不到“一般”标准的视为“不合格”。 2.高原地区应在海拔4000米以下集中组织适应性测试，海拔2000-3000米，每增加100米高度标准递增3秒，3100-4000米，每增加100米高度标准递增4秒。</w:t>
            </w:r>
          </w:p>
        </w:tc>
      </w:tr>
    </w:tbl>
    <w:p>
      <w:pPr>
        <w:pStyle w:val="2"/>
        <w:jc w:val="both"/>
        <w:rPr>
          <w:color w:val="000000"/>
        </w:rPr>
      </w:pPr>
    </w:p>
    <w:sectPr>
      <w:pgSz w:w="11906" w:h="16838"/>
      <w:pgMar w:top="1440" w:right="1701" w:bottom="56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31C80"/>
    <w:rsid w:val="6FB31C80"/>
    <w:rsid w:val="768B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楷体_GB2312" w:eastAsia="楷体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2020-03-12T01:00:00Z</dcterms:created>
  <dc:creator>孔志强</dc:creator>
  <cp:lastModifiedBy>大眼儿</cp:lastModifiedBy>
  <dcterms:modified xsi:type="dcterms:W3CDTF">2020-03-12T02:26:34Z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