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bookmarkStart w:id="0" w:name="_Hlk36114685"/>
      <w:r>
        <w:rPr>
          <w:rFonts w:hint="eastAsia"/>
          <w:b/>
          <w:bCs/>
        </w:rPr>
        <w:t>附件1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</w:rPr>
        <w:t>：</w:t>
      </w:r>
      <w:bookmarkStart w:id="2" w:name="_GoBack"/>
      <w:bookmarkEnd w:id="2"/>
    </w:p>
    <w:p>
      <w:pPr>
        <w:jc w:val="center"/>
        <w:rPr>
          <w:b/>
          <w:bCs/>
          <w:sz w:val="32"/>
          <w:szCs w:val="28"/>
        </w:rPr>
      </w:pPr>
      <w:bookmarkStart w:id="1" w:name="_Hlk36210143"/>
      <w:r>
        <w:rPr>
          <w:rFonts w:hint="eastAsia"/>
          <w:b/>
          <w:bCs/>
          <w:sz w:val="36"/>
          <w:szCs w:val="32"/>
        </w:rPr>
        <w:t>贵州民用航空职业学院</w:t>
      </w:r>
      <w:r>
        <w:rPr>
          <w:b/>
          <w:bCs/>
          <w:sz w:val="36"/>
          <w:szCs w:val="32"/>
        </w:rPr>
        <w:t>2020年招聘计划一览表</w:t>
      </w:r>
    </w:p>
    <w:bookmarkEnd w:id="0"/>
    <w:bookmarkEnd w:id="1"/>
    <w:tbl>
      <w:tblPr>
        <w:tblStyle w:val="8"/>
        <w:tblpPr w:leftFromText="180" w:rightFromText="180" w:vertAnchor="text" w:horzAnchor="page" w:tblpXSpec="center" w:tblpY="232"/>
        <w:tblOverlap w:val="never"/>
        <w:tblW w:w="15532" w:type="dxa"/>
        <w:jc w:val="center"/>
        <w:tblBorders>
          <w:top w:val="single" w:color="4472C4" w:themeColor="accent1" w:sz="6" w:space="0"/>
          <w:left w:val="single" w:color="4472C4" w:themeColor="accent1" w:sz="6" w:space="0"/>
          <w:bottom w:val="single" w:color="4472C4" w:themeColor="accent1" w:sz="6" w:space="0"/>
          <w:right w:val="single" w:color="4472C4" w:themeColor="accent1" w:sz="6" w:space="0"/>
          <w:insideH w:val="single" w:color="4472C4" w:themeColor="accent1" w:sz="6" w:space="0"/>
          <w:insideV w:val="single" w:color="4472C4" w:themeColor="accen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97"/>
        <w:gridCol w:w="2038"/>
        <w:gridCol w:w="4592"/>
        <w:gridCol w:w="3428"/>
        <w:gridCol w:w="762"/>
        <w:gridCol w:w="750"/>
        <w:gridCol w:w="700"/>
        <w:gridCol w:w="2100"/>
      </w:tblGrid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5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br w:type="page"/>
            </w: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2635" w:type="dxa"/>
            <w:gridSpan w:val="2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岗 </w:t>
            </w:r>
            <w:r>
              <w:rPr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位</w:t>
            </w:r>
          </w:p>
        </w:tc>
        <w:tc>
          <w:tcPr>
            <w:tcW w:w="4592" w:type="dxa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岗位职责</w:t>
            </w:r>
          </w:p>
        </w:tc>
        <w:tc>
          <w:tcPr>
            <w:tcW w:w="3428" w:type="dxa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专业</w:t>
            </w:r>
            <w:r>
              <w:rPr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/专业方向</w:t>
            </w:r>
          </w:p>
        </w:tc>
        <w:tc>
          <w:tcPr>
            <w:tcW w:w="762" w:type="dxa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学历要求</w:t>
            </w:r>
          </w:p>
        </w:tc>
        <w:tc>
          <w:tcPr>
            <w:tcW w:w="750" w:type="dxa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年龄</w:t>
            </w:r>
          </w:p>
        </w:tc>
        <w:tc>
          <w:tcPr>
            <w:tcW w:w="700" w:type="dxa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招聘人数</w:t>
            </w:r>
          </w:p>
        </w:tc>
        <w:tc>
          <w:tcPr>
            <w:tcW w:w="2100" w:type="dxa"/>
            <w:tcBorders>
              <w:top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  <w:insideH w:val="single" w:sz="4" w:space="0"/>
              <w:insideV w:val="nil"/>
            </w:tcBorders>
            <w:shd w:val="clear" w:color="auto" w:fill="4472C4" w:themeFill="accent1"/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AEACE" w:themeColor="background1"/>
                <w:kern w:val="0"/>
                <w:sz w:val="21"/>
                <w:szCs w:val="20"/>
                <w14:textFill>
                  <w14:solidFill>
                    <w14:schemeClr w14:val="bg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1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管理人员</w:t>
            </w:r>
          </w:p>
        </w:tc>
        <w:tc>
          <w:tcPr>
            <w:tcW w:w="4592" w:type="dxa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有较强的文字</w:t>
            </w:r>
            <w:r>
              <w:rPr>
                <w:rFonts w:hint="eastAsia"/>
                <w:kern w:val="0"/>
                <w:sz w:val="18"/>
                <w:szCs w:val="16"/>
              </w:rPr>
              <w:t>能力</w:t>
            </w:r>
            <w:r>
              <w:rPr>
                <w:kern w:val="0"/>
                <w:sz w:val="18"/>
                <w:szCs w:val="16"/>
              </w:rPr>
              <w:t>，能熟练使用办公软件，有</w:t>
            </w:r>
            <w:r>
              <w:rPr>
                <w:rFonts w:hint="eastAsia"/>
                <w:kern w:val="0"/>
                <w:sz w:val="18"/>
                <w:szCs w:val="16"/>
              </w:rPr>
              <w:t>一定</w:t>
            </w:r>
            <w:r>
              <w:rPr>
                <w:kern w:val="0"/>
                <w:sz w:val="18"/>
                <w:szCs w:val="16"/>
              </w:rPr>
              <w:t>组织</w:t>
            </w:r>
            <w:r>
              <w:rPr>
                <w:rFonts w:hint="eastAsia"/>
                <w:kern w:val="0"/>
                <w:sz w:val="18"/>
                <w:szCs w:val="16"/>
              </w:rPr>
              <w:t>管理、沟通</w:t>
            </w:r>
            <w:r>
              <w:rPr>
                <w:kern w:val="0"/>
                <w:sz w:val="18"/>
                <w:szCs w:val="16"/>
              </w:rPr>
              <w:t>协调能力</w:t>
            </w:r>
            <w:r>
              <w:rPr>
                <w:rFonts w:hint="eastAsia"/>
                <w:kern w:val="0"/>
                <w:sz w:val="18"/>
                <w:szCs w:val="16"/>
              </w:rPr>
              <w:t>。</w:t>
            </w: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教育技术类、中文类、人资类、</w:t>
            </w:r>
          </w:p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管理类、思政类等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全日制本科</w:t>
            </w:r>
          </w:p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及以上学历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30岁</w:t>
            </w:r>
          </w:p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以下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16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1、中共党员优先（含预备党员）；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2</w:t>
            </w:r>
            <w:r>
              <w:rPr>
                <w:rFonts w:hint="eastAsia"/>
                <w:kern w:val="0"/>
                <w:sz w:val="18"/>
                <w:szCs w:val="16"/>
              </w:rPr>
              <w:t>、有</w:t>
            </w:r>
            <w:r>
              <w:rPr>
                <w:kern w:val="0"/>
                <w:sz w:val="18"/>
                <w:szCs w:val="16"/>
              </w:rPr>
              <w:t>工作经验者优先</w:t>
            </w:r>
            <w:r>
              <w:rPr>
                <w:rFonts w:hint="eastAsia"/>
                <w:kern w:val="0"/>
                <w:sz w:val="18"/>
                <w:szCs w:val="16"/>
              </w:rPr>
              <w:t>。</w:t>
            </w: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2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辅导员</w:t>
            </w:r>
          </w:p>
        </w:tc>
        <w:tc>
          <w:tcPr>
            <w:tcW w:w="4592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学生思想政治教育；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学生日常管理；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3、</w:t>
            </w:r>
            <w:r>
              <w:rPr>
                <w:kern w:val="0"/>
                <w:sz w:val="18"/>
                <w:szCs w:val="16"/>
              </w:rPr>
              <w:t>学生心理辅导；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4、学生</w:t>
            </w:r>
            <w:r>
              <w:rPr>
                <w:kern w:val="0"/>
                <w:sz w:val="18"/>
                <w:szCs w:val="16"/>
              </w:rPr>
              <w:t>就业指导等</w:t>
            </w:r>
            <w:r>
              <w:rPr>
                <w:rFonts w:hint="eastAsia"/>
                <w:kern w:val="0"/>
                <w:sz w:val="18"/>
                <w:szCs w:val="16"/>
              </w:rPr>
              <w:t>。</w:t>
            </w: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不限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10</w:t>
            </w:r>
          </w:p>
        </w:tc>
        <w:tc>
          <w:tcPr>
            <w:tcW w:w="2100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1、必须是中共党员；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2、所学专业与学院开设专业相关者优先；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2、有</w:t>
            </w:r>
            <w:r>
              <w:rPr>
                <w:kern w:val="0"/>
                <w:sz w:val="18"/>
                <w:szCs w:val="16"/>
              </w:rPr>
              <w:t>工作经验者优先</w:t>
            </w:r>
            <w:r>
              <w:rPr>
                <w:rFonts w:hint="eastAsia"/>
                <w:kern w:val="0"/>
                <w:sz w:val="18"/>
                <w:szCs w:val="16"/>
              </w:rPr>
              <w:t>。</w:t>
            </w: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3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财  务</w:t>
            </w:r>
          </w:p>
        </w:tc>
        <w:tc>
          <w:tcPr>
            <w:tcW w:w="4592" w:type="dxa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1、能操作财务软件及Excel、Word等办公软件；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2、了解国家财经政策和会计、税务法规，熟悉银行结算业务。</w:t>
            </w: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会计、财务管理等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1、持有会计资格证，具有3年以上财务工作经验者优先；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2、有高校财务相关工作经验者优先。</w:t>
            </w: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教师</w:t>
            </w:r>
          </w:p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岗位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数学教师</w:t>
            </w:r>
          </w:p>
        </w:tc>
        <w:tc>
          <w:tcPr>
            <w:tcW w:w="4592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1、承担本专业相关课程教学工作</w:t>
            </w:r>
            <w:r>
              <w:rPr>
                <w:rFonts w:hint="eastAsia"/>
                <w:kern w:val="0"/>
                <w:sz w:val="18"/>
                <w:szCs w:val="16"/>
              </w:rPr>
              <w:t>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2、指导学生完成实习、实践</w:t>
            </w:r>
            <w:r>
              <w:rPr>
                <w:rFonts w:hint="eastAsia"/>
                <w:kern w:val="0"/>
                <w:sz w:val="18"/>
                <w:szCs w:val="16"/>
              </w:rPr>
              <w:t>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3</w:t>
            </w:r>
            <w:r>
              <w:rPr>
                <w:kern w:val="0"/>
                <w:sz w:val="18"/>
                <w:szCs w:val="16"/>
              </w:rPr>
              <w:t>、服从学校工作安排，积极参加学校各项活动</w:t>
            </w:r>
            <w:r>
              <w:rPr>
                <w:rFonts w:hint="eastAsia"/>
                <w:kern w:val="0"/>
                <w:sz w:val="18"/>
                <w:szCs w:val="16"/>
              </w:rPr>
              <w:t>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4、积极开展教学研究及科研活动。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基础数学、</w:t>
            </w:r>
          </w:p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应用数学概率论与数理统计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1、报考有教师资格证者优先；</w:t>
            </w:r>
          </w:p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2、有</w:t>
            </w:r>
            <w:r>
              <w:rPr>
                <w:kern w:val="0"/>
                <w:sz w:val="18"/>
                <w:szCs w:val="16"/>
              </w:rPr>
              <w:t>工作经验者优先</w:t>
            </w:r>
            <w:r>
              <w:rPr>
                <w:rFonts w:hint="eastAsia"/>
                <w:kern w:val="0"/>
                <w:sz w:val="18"/>
                <w:szCs w:val="16"/>
              </w:rPr>
              <w:t>。</w:t>
            </w: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5</w:t>
            </w:r>
          </w:p>
        </w:tc>
        <w:tc>
          <w:tcPr>
            <w:tcW w:w="5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外语教师</w:t>
            </w:r>
          </w:p>
        </w:tc>
        <w:tc>
          <w:tcPr>
            <w:tcW w:w="459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英语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kern w:val="0"/>
                <w:sz w:val="18"/>
                <w:szCs w:val="16"/>
              </w:rPr>
              <w:t>3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6</w:t>
            </w:r>
          </w:p>
        </w:tc>
        <w:tc>
          <w:tcPr>
            <w:tcW w:w="5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汉语言文学教师</w:t>
            </w:r>
          </w:p>
        </w:tc>
        <w:tc>
          <w:tcPr>
            <w:tcW w:w="459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汉语言文学类专业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7</w:t>
            </w:r>
          </w:p>
        </w:tc>
        <w:tc>
          <w:tcPr>
            <w:tcW w:w="5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大数据技术与应用教师</w:t>
            </w:r>
          </w:p>
        </w:tc>
        <w:tc>
          <w:tcPr>
            <w:tcW w:w="459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计算机应用、大数据、电子信息等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8</w:t>
            </w:r>
          </w:p>
        </w:tc>
        <w:tc>
          <w:tcPr>
            <w:tcW w:w="5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计算机网络技术教师</w:t>
            </w:r>
            <w:r>
              <w:rPr>
                <w:rFonts w:hint="eastAsia"/>
                <w:kern w:val="0"/>
                <w:sz w:val="18"/>
                <w:szCs w:val="16"/>
              </w:rPr>
              <w:br w:type="textWrapping"/>
            </w:r>
            <w:r>
              <w:rPr>
                <w:rFonts w:hint="eastAsia"/>
                <w:kern w:val="0"/>
                <w:sz w:val="18"/>
                <w:szCs w:val="16"/>
              </w:rPr>
              <w:t>(含实训)</w:t>
            </w:r>
          </w:p>
        </w:tc>
        <w:tc>
          <w:tcPr>
            <w:tcW w:w="459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通信工程、物联网、</w:t>
            </w:r>
          </w:p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计算机应用等相关专业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9</w:t>
            </w:r>
          </w:p>
        </w:tc>
        <w:tc>
          <w:tcPr>
            <w:tcW w:w="5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飞机机电设备维修教师</w:t>
            </w:r>
          </w:p>
        </w:tc>
        <w:tc>
          <w:tcPr>
            <w:tcW w:w="459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飞行器制造、飞行器设计与工程、飞行器环境与生命保障工程等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ind w:firstLine="361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1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4472C4" w:themeColor="accent1" w:sz="6" w:space="0"/>
            <w:left w:val="single" w:color="4472C4" w:themeColor="accent1" w:sz="6" w:space="0"/>
            <w:bottom w:val="single" w:color="4472C4" w:themeColor="accent1" w:sz="6" w:space="0"/>
            <w:right w:val="single" w:color="4472C4" w:themeColor="accent1" w:sz="6" w:space="0"/>
            <w:insideH w:val="single" w:color="4472C4" w:themeColor="accent1" w:sz="6" w:space="0"/>
            <w:insideV w:val="single" w:color="4472C4" w:themeColor="accen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6"/>
              </w:rPr>
              <w:t>10</w:t>
            </w:r>
          </w:p>
        </w:tc>
        <w:tc>
          <w:tcPr>
            <w:tcW w:w="5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体育教师</w:t>
            </w:r>
          </w:p>
        </w:tc>
        <w:tc>
          <w:tcPr>
            <w:tcW w:w="459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342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体育专业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kern w:val="0"/>
                <w:sz w:val="18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2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18"/>
                <w:szCs w:val="16"/>
              </w:rPr>
            </w:pPr>
          </w:p>
        </w:tc>
      </w:tr>
    </w:tbl>
    <w:p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注：以上为学院初期招聘需求，若有优秀者，可放宽条件，作为储备人才。</w:t>
      </w:r>
    </w:p>
    <w:p>
      <w:pPr>
        <w:ind w:firstLine="560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D100"/>
    <w:multiLevelType w:val="singleLevel"/>
    <w:tmpl w:val="2B28D1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F9"/>
    <w:rsid w:val="00204537"/>
    <w:rsid w:val="002146EE"/>
    <w:rsid w:val="002E21D8"/>
    <w:rsid w:val="002E6A6A"/>
    <w:rsid w:val="00362398"/>
    <w:rsid w:val="003C45EA"/>
    <w:rsid w:val="00581A97"/>
    <w:rsid w:val="005E3A6D"/>
    <w:rsid w:val="0064201E"/>
    <w:rsid w:val="00721DE1"/>
    <w:rsid w:val="00757AA7"/>
    <w:rsid w:val="00776D5D"/>
    <w:rsid w:val="007A68C7"/>
    <w:rsid w:val="008C4B55"/>
    <w:rsid w:val="009758BD"/>
    <w:rsid w:val="00A22FE8"/>
    <w:rsid w:val="00AC4D53"/>
    <w:rsid w:val="00BB2FF9"/>
    <w:rsid w:val="00D3158F"/>
    <w:rsid w:val="00D3192A"/>
    <w:rsid w:val="00EF60BD"/>
    <w:rsid w:val="00F96120"/>
    <w:rsid w:val="1845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网格表 4 - 着色 11"/>
    <w:basedOn w:val="4"/>
    <w:qFormat/>
    <w:uiPriority w:val="49"/>
    <w:rPr>
      <w:kern w:val="0"/>
      <w:sz w:val="20"/>
      <w:szCs w:val="20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CAEACE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styleId="9">
    <w:name w:val="List Paragraph"/>
    <w:basedOn w:val="1"/>
    <w:qFormat/>
    <w:uiPriority w:val="34"/>
    <w:pPr>
      <w:spacing w:line="520" w:lineRule="exact"/>
      <w:ind w:firstLine="420" w:firstLineChars="200"/>
    </w:pPr>
    <w:rPr>
      <w:rFonts w:ascii="宋体" w:hAnsi="宋体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641</Characters>
  <Lines>5</Lines>
  <Paragraphs>1</Paragraphs>
  <TotalTime>1</TotalTime>
  <ScaleCrop>false</ScaleCrop>
  <LinksUpToDate>false</LinksUpToDate>
  <CharactersWithSpaces>647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2020-05-15T04:21:00Z</dcterms:created>
  <dc:creator>穆玉恒</dc:creator>
  <cp:lastModifiedBy>穆玉恒</cp:lastModifiedBy>
  <dcterms:modified xsi:type="dcterms:W3CDTF">2020-05-16T03:55:55Z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