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color w:val="000000"/>
          <w:sz w:val="36"/>
          <w:szCs w:val="36"/>
        </w:rPr>
      </w:pPr>
      <w:bookmarkStart w:id="0" w:name="_GoBack"/>
      <w:r>
        <w:rPr>
          <w:rFonts w:ascii="Times New Roman" w:hAnsi="Times New Roman" w:eastAsia="方正小标宋简体" w:cs="Times New Roman"/>
          <w:color w:val="000000"/>
          <w:sz w:val="36"/>
          <w:szCs w:val="36"/>
        </w:rPr>
        <w:t>遵义市2021年特岗教师招聘岗位学历专业的</w:t>
      </w:r>
    </w:p>
    <w:p>
      <w:pPr>
        <w:spacing w:line="560" w:lineRule="exact"/>
        <w:jc w:val="center"/>
        <w:rPr>
          <w:rFonts w:ascii="Times New Roman" w:hAnsi="Times New Roman" w:eastAsia="方正小标宋简体" w:cs="Times New Roman"/>
          <w:color w:val="000000"/>
          <w:sz w:val="36"/>
          <w:szCs w:val="36"/>
        </w:rPr>
      </w:pPr>
      <w:r>
        <w:rPr>
          <w:rFonts w:ascii="Times New Roman" w:hAnsi="Times New Roman" w:eastAsia="方正小标宋简体" w:cs="Times New Roman"/>
          <w:color w:val="000000"/>
          <w:sz w:val="36"/>
          <w:szCs w:val="36"/>
        </w:rPr>
        <w:t>统一界定</w:t>
      </w:r>
    </w:p>
    <w:bookmarkEnd w:id="0"/>
    <w:p>
      <w:pPr>
        <w:pStyle w:val="3"/>
        <w:spacing w:before="0" w:beforeAutospacing="0" w:after="0" w:afterAutospacing="0" w:line="500" w:lineRule="exact"/>
        <w:ind w:firstLine="600" w:firstLineChars="200"/>
        <w:rPr>
          <w:rFonts w:ascii="Times New Roman" w:hAnsi="Times New Roman" w:eastAsia="仿宋_GB2312" w:cs="Times New Roman"/>
          <w:sz w:val="30"/>
          <w:szCs w:val="30"/>
        </w:rPr>
      </w:pPr>
    </w:p>
    <w:p>
      <w:pPr>
        <w:pStyle w:val="3"/>
        <w:keepNext w:val="0"/>
        <w:keepLines w:val="0"/>
        <w:pageBreakBefore w:val="0"/>
        <w:kinsoku/>
        <w:wordWrap/>
        <w:overflowPunct/>
        <w:topLinePunct w:val="0"/>
        <w:autoSpaceDE/>
        <w:autoSpaceDN/>
        <w:bidi w:val="0"/>
        <w:adjustRightInd/>
        <w:snapToGrid/>
        <w:spacing w:before="0" w:beforeAutospacing="0" w:after="0" w:afterAutospacing="0" w:line="340" w:lineRule="exact"/>
        <w:ind w:firstLine="560" w:firstLineChars="200"/>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根据《贵州省2021年“特岗计划”实施方案》学历条件、教师资格条件要求，参照《普通高等学校本科专业目录新旧专业对照表》2012版、《普通高等学校本科专业目录》（2020年版）、《普通高等学校高等职业教育（专科）专业目录》（2015年）、《普通高等学校高等职业教育（专科）专业目录新旧专业对照表》、《自学考试本科和专科参考专业目录》</w:t>
      </w:r>
      <w:r>
        <w:rPr>
          <w:rFonts w:hint="eastAsia" w:ascii="Times New Roman" w:hAnsi="Times New Roman" w:eastAsia="仿宋_GB2312" w:cs="Times New Roman"/>
          <w:sz w:val="28"/>
          <w:szCs w:val="28"/>
          <w:lang w:eastAsia="zh-CN"/>
        </w:rPr>
        <w:t>，</w:t>
      </w:r>
      <w:r>
        <w:rPr>
          <w:rFonts w:ascii="Times New Roman" w:hAnsi="Times New Roman" w:eastAsia="仿宋_GB2312" w:cs="Times New Roman"/>
          <w:sz w:val="28"/>
          <w:szCs w:val="28"/>
        </w:rPr>
        <w:t>经市教育局、各县、区（市）教育局商定，2021年特岗教师招聘“学历、教师资格条件”界定如下：</w:t>
      </w:r>
    </w:p>
    <w:p>
      <w:pPr>
        <w:keepNext w:val="0"/>
        <w:keepLines w:val="0"/>
        <w:pageBreakBefore w:val="0"/>
        <w:kinsoku/>
        <w:wordWrap/>
        <w:overflowPunct/>
        <w:topLinePunct w:val="0"/>
        <w:autoSpaceDE/>
        <w:autoSpaceDN/>
        <w:bidi w:val="0"/>
        <w:adjustRightInd/>
        <w:snapToGrid/>
        <w:spacing w:line="340" w:lineRule="exact"/>
        <w:ind w:firstLine="706" w:firstLineChars="200"/>
        <w:textAlignment w:val="auto"/>
        <w:rPr>
          <w:rFonts w:ascii="Times New Roman" w:hAnsi="Times New Roman" w:cs="Times New Roman"/>
          <w:sz w:val="28"/>
          <w:szCs w:val="28"/>
        </w:rPr>
      </w:pPr>
      <w:r>
        <w:rPr>
          <w:rFonts w:hint="eastAsia" w:ascii="黑体" w:hAnsi="黑体" w:eastAsia="黑体" w:cs="黑体"/>
          <w:b/>
          <w:bCs/>
          <w:sz w:val="30"/>
          <w:szCs w:val="30"/>
        </w:rPr>
        <w:t>一、语文</w:t>
      </w:r>
      <w:r>
        <w:rPr>
          <w:rFonts w:ascii="Times New Roman" w:hAnsi="Times New Roman" w:cs="Times New Roman"/>
          <w:sz w:val="28"/>
          <w:szCs w:val="28"/>
        </w:rPr>
        <w:t>（取得报考学段及以上语文教师资格）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中国语言文学类（汉语言文学、汉语言、汉语国际教育、中国少数民族语言文学、古典文献学、应用语言学、秘书学、中国语言与文化、手语翻译）</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bdr w:val="single" w:color="auto" w:sz="4" w:space="0"/>
        </w:rPr>
      </w:pPr>
      <w:r>
        <w:rPr>
          <w:rFonts w:ascii="Times New Roman" w:hAnsi="Times New Roman" w:cs="Times New Roman"/>
          <w:b/>
          <w:sz w:val="28"/>
          <w:szCs w:val="28"/>
        </w:rPr>
        <w:t>本科二级学科：</w:t>
      </w:r>
      <w:r>
        <w:rPr>
          <w:rFonts w:ascii="Times New Roman" w:hAnsi="Times New Roman" w:cs="Times New Roman"/>
          <w:sz w:val="28"/>
          <w:szCs w:val="28"/>
        </w:rPr>
        <w:t>小学教育（取得语文教师资格证或全科教师资格证，限报小学语文）、华文教育、人文教育、教育学。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小学教育（取得语文教师资格或全科教师资格，限报小学语文）、基础教育</w:t>
      </w:r>
      <w:r>
        <w:rPr>
          <w:rFonts w:ascii="Times New Roman" w:hAnsi="Times New Roman" w:cs="Times New Roman"/>
          <w:b/>
          <w:sz w:val="28"/>
          <w:szCs w:val="28"/>
        </w:rPr>
        <w:t>、</w:t>
      </w:r>
      <w:r>
        <w:rPr>
          <w:rFonts w:ascii="Times New Roman" w:hAnsi="Times New Roman" w:cs="Times New Roman"/>
          <w:sz w:val="28"/>
          <w:szCs w:val="28"/>
        </w:rPr>
        <w:t>初等教育</w:t>
      </w:r>
      <w:r>
        <w:rPr>
          <w:rFonts w:ascii="Times New Roman" w:hAnsi="Times New Roman" w:cs="Times New Roman"/>
          <w:b/>
          <w:sz w:val="28"/>
          <w:szCs w:val="28"/>
        </w:rPr>
        <w:t>、</w:t>
      </w:r>
      <w:r>
        <w:rPr>
          <w:rFonts w:ascii="Times New Roman" w:hAnsi="Times New Roman" w:cs="Times New Roman"/>
          <w:sz w:val="28"/>
          <w:szCs w:val="28"/>
        </w:rPr>
        <w:t>义务教育</w:t>
      </w:r>
      <w:r>
        <w:rPr>
          <w:rFonts w:ascii="Times New Roman" w:hAnsi="Times New Roman" w:cs="Times New Roman"/>
          <w:b/>
          <w:sz w:val="28"/>
          <w:szCs w:val="28"/>
        </w:rPr>
        <w:t>、</w:t>
      </w:r>
      <w:r>
        <w:rPr>
          <w:rFonts w:ascii="Times New Roman" w:hAnsi="Times New Roman" w:cs="Times New Roman"/>
          <w:sz w:val="28"/>
          <w:szCs w:val="28"/>
        </w:rPr>
        <w:t>秘书学、汉语言文学教育、对外汉语、汉语言文学、汉语言翻译、师范类汉语言文学、教育学。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w:t>
      </w:r>
      <w:r>
        <w:rPr>
          <w:rFonts w:ascii="Times New Roman" w:hAnsi="Times New Roman" w:cs="Times New Roman"/>
          <w:b/>
          <w:sz w:val="28"/>
          <w:szCs w:val="28"/>
        </w:rPr>
        <w:t>：</w:t>
      </w:r>
      <w:r>
        <w:rPr>
          <w:rFonts w:ascii="Times New Roman" w:hAnsi="Times New Roman" w:cs="Times New Roman"/>
          <w:sz w:val="28"/>
          <w:szCs w:val="28"/>
        </w:rPr>
        <w:t>小学教育（取得语文教师资格或全科教师资格）、语文教育、汉语、文秘、文秘速录、中国少数民族语言文化、小学综合教育、秘书、师范类汉语言文学、汉语言文学教育、中文秘书、文秘、汉语言文学、汉语言翻译。</w:t>
      </w:r>
    </w:p>
    <w:p>
      <w:pPr>
        <w:keepNext w:val="0"/>
        <w:keepLines w:val="0"/>
        <w:pageBreakBefore w:val="0"/>
        <w:kinsoku/>
        <w:wordWrap/>
        <w:overflowPunct/>
        <w:topLinePunct w:val="0"/>
        <w:autoSpaceDE/>
        <w:autoSpaceDN/>
        <w:bidi w:val="0"/>
        <w:adjustRightInd/>
        <w:snapToGrid/>
        <w:spacing w:line="340" w:lineRule="exact"/>
        <w:jc w:val="left"/>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二、数学</w:t>
      </w:r>
      <w:r>
        <w:rPr>
          <w:rFonts w:ascii="Times New Roman" w:hAnsi="Times New Roman" w:cs="Times New Roman"/>
          <w:sz w:val="28"/>
          <w:szCs w:val="28"/>
        </w:rPr>
        <w:t>（取得报考学段及以上数学教师资格）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数学类（数学与应用数学、信息与计算科学、数理基础科学、数据计算及应用）</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小学教育（取得数学教师资格或全科教师资格，限报小学数学）、教育学。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数学、小学教育（取得数学教师资格或全科教师资格，限报小学数学）、基础教育、初等教育、义务教育、数学教育。</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小学教育（取得数学教师资格或全科教师资格）、数学教育、小学综合教育、师范类数学、数学。</w:t>
      </w:r>
    </w:p>
    <w:p>
      <w:pPr>
        <w:keepNext w:val="0"/>
        <w:keepLines w:val="0"/>
        <w:pageBreakBefore w:val="0"/>
        <w:kinsoku/>
        <w:wordWrap/>
        <w:overflowPunct/>
        <w:topLinePunct w:val="0"/>
        <w:autoSpaceDE/>
        <w:autoSpaceDN/>
        <w:bidi w:val="0"/>
        <w:adjustRightInd/>
        <w:snapToGrid/>
        <w:spacing w:line="340" w:lineRule="exact"/>
        <w:jc w:val="left"/>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jc w:val="left"/>
        <w:textAlignment w:val="auto"/>
        <w:rPr>
          <w:rFonts w:ascii="Times New Roman" w:hAnsi="Times New Roman" w:cs="Times New Roman"/>
          <w:sz w:val="28"/>
          <w:szCs w:val="28"/>
        </w:rPr>
      </w:pPr>
      <w:r>
        <w:rPr>
          <w:rFonts w:hint="eastAsia" w:ascii="黑体" w:hAnsi="黑体" w:eastAsia="黑体" w:cs="黑体"/>
          <w:b/>
          <w:bCs/>
          <w:sz w:val="30"/>
          <w:szCs w:val="30"/>
        </w:rPr>
        <w:t>三、英语</w:t>
      </w:r>
      <w:r>
        <w:rPr>
          <w:rFonts w:ascii="Times New Roman" w:hAnsi="Times New Roman" w:cs="Times New Roman"/>
          <w:sz w:val="28"/>
          <w:szCs w:val="28"/>
        </w:rPr>
        <w:t>（取得报考学段及以上英语教师资格）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英语、翻译、商务英语、小学教育（取得英语教师资格或全科教师资格，限报小学英语）</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小学教育（取得英语教师资格或全科教师资格，限报小学英语）</w:t>
      </w:r>
      <w:r>
        <w:rPr>
          <w:rFonts w:ascii="Times New Roman" w:hAnsi="Times New Roman" w:cs="Times New Roman"/>
          <w:b/>
          <w:sz w:val="28"/>
          <w:szCs w:val="28"/>
        </w:rPr>
        <w:t>、</w:t>
      </w:r>
      <w:r>
        <w:rPr>
          <w:rFonts w:ascii="Times New Roman" w:hAnsi="Times New Roman" w:cs="Times New Roman"/>
          <w:sz w:val="28"/>
          <w:szCs w:val="28"/>
        </w:rPr>
        <w:t>英语翻译、英语教育、经贸英语、商务英语、外贸英语、英语、旅游英语。</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英语教育、小学教育（取得英语教师资格或全科教师资格）、商务英语、应用英语、旅游英语、小学英语教育、外贸英语、英语、商贸英语、经贸英语、英语翻译。</w:t>
      </w:r>
    </w:p>
    <w:p>
      <w:pPr>
        <w:keepNext w:val="0"/>
        <w:keepLines w:val="0"/>
        <w:pageBreakBefore w:val="0"/>
        <w:kinsoku/>
        <w:wordWrap/>
        <w:overflowPunct/>
        <w:topLinePunct w:val="0"/>
        <w:autoSpaceDE/>
        <w:autoSpaceDN/>
        <w:bidi w:val="0"/>
        <w:adjustRightInd/>
        <w:snapToGrid/>
        <w:spacing w:line="340" w:lineRule="exact"/>
        <w:ind w:firstLine="664" w:firstLineChars="200"/>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textAlignment w:val="auto"/>
        <w:rPr>
          <w:rFonts w:ascii="Times New Roman" w:hAnsi="Times New Roman" w:cs="Times New Roman"/>
          <w:sz w:val="28"/>
          <w:szCs w:val="28"/>
        </w:rPr>
      </w:pPr>
      <w:r>
        <w:rPr>
          <w:rFonts w:hint="eastAsia" w:ascii="黑体" w:hAnsi="黑体" w:eastAsia="黑体" w:cs="黑体"/>
          <w:b/>
          <w:bCs/>
          <w:sz w:val="30"/>
          <w:szCs w:val="30"/>
        </w:rPr>
        <w:t>四、物理</w:t>
      </w:r>
      <w:r>
        <w:rPr>
          <w:rFonts w:ascii="Times New Roman" w:hAnsi="Times New Roman" w:cs="Times New Roman"/>
          <w:sz w:val="28"/>
          <w:szCs w:val="28"/>
        </w:rPr>
        <w:t>（取得报考学段及以上物理教师资格）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物理学类（物理学、 应用物理学、核物理、声学、系统科学与工程）</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物理教育</w:t>
      </w:r>
    </w:p>
    <w:p>
      <w:pPr>
        <w:keepNext w:val="0"/>
        <w:keepLines w:val="0"/>
        <w:pageBreakBefore w:val="0"/>
        <w:kinsoku/>
        <w:wordWrap/>
        <w:overflowPunct/>
        <w:topLinePunct w:val="0"/>
        <w:autoSpaceDE/>
        <w:autoSpaceDN/>
        <w:bidi w:val="0"/>
        <w:adjustRightInd/>
        <w:snapToGrid/>
        <w:spacing w:line="340" w:lineRule="exact"/>
        <w:ind w:firstLine="664" w:firstLineChars="200"/>
        <w:jc w:val="left"/>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五、化学</w:t>
      </w:r>
      <w:r>
        <w:rPr>
          <w:rFonts w:ascii="Times New Roman" w:hAnsi="Times New Roman" w:cs="Times New Roman"/>
          <w:sz w:val="28"/>
          <w:szCs w:val="28"/>
        </w:rPr>
        <w:t>（取得报考学段及以上化学教师资格）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化学类（化学、应用化学、化学生物学、分子科学与工程、能源化学）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化学教育</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六、生物</w:t>
      </w:r>
      <w:r>
        <w:rPr>
          <w:rFonts w:ascii="Times New Roman" w:hAnsi="Times New Roman" w:cs="Times New Roman"/>
          <w:sz w:val="28"/>
          <w:szCs w:val="28"/>
        </w:rPr>
        <w:t>（取得报考学段及以上生物教师资格）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生物科学类（生物科学、生物技术、生物信息学、生态学、整合科学、神经科学）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生物教育、生物工程、生物技术、生物科学、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七、地理</w:t>
      </w:r>
      <w:r>
        <w:rPr>
          <w:rFonts w:ascii="Times New Roman" w:hAnsi="Times New Roman" w:cs="Times New Roman"/>
          <w:sz w:val="28"/>
          <w:szCs w:val="28"/>
        </w:rPr>
        <w:t>（取得报考学段及以上地理教师资格）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地理科学类（地理科学、自然地理与资源环境、 人文地理与城乡规划、地理信息科学）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人文教育</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地理教育</w:t>
      </w:r>
      <w:r>
        <w:rPr>
          <w:rFonts w:ascii="Times New Roman" w:hAnsi="Times New Roman" w:cs="Times New Roman"/>
          <w:b/>
          <w:sz w:val="28"/>
          <w:szCs w:val="28"/>
        </w:rPr>
        <w:t>、</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八、历史</w:t>
      </w:r>
      <w:r>
        <w:rPr>
          <w:rFonts w:ascii="Times New Roman" w:hAnsi="Times New Roman" w:cs="Times New Roman"/>
          <w:sz w:val="28"/>
          <w:szCs w:val="28"/>
        </w:rPr>
        <w:t>（取得报考学段及以上历史教师资格）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历史学类（历史学、世界史、考古学、文物与博物馆学、文物保护技术、外国语言与外国历史、文化遗产）</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人文教育</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bdr w:val="single" w:color="auto" w:sz="4" w:space="0"/>
        </w:rPr>
      </w:pPr>
      <w:r>
        <w:rPr>
          <w:rFonts w:ascii="Times New Roman" w:hAnsi="Times New Roman" w:cs="Times New Roman"/>
          <w:b/>
          <w:sz w:val="28"/>
          <w:szCs w:val="28"/>
        </w:rPr>
        <w:t>其他院校本科：</w:t>
      </w:r>
      <w:r>
        <w:rPr>
          <w:rFonts w:ascii="Times New Roman" w:hAnsi="Times New Roman" w:cs="Times New Roman"/>
          <w:sz w:val="28"/>
          <w:szCs w:val="28"/>
        </w:rPr>
        <w:t>历史教育、考古学</w:t>
      </w:r>
    </w:p>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九、思想政治</w:t>
      </w:r>
      <w:r>
        <w:rPr>
          <w:rFonts w:ascii="Times New Roman" w:hAnsi="Times New Roman" w:cs="Times New Roman"/>
          <w:sz w:val="28"/>
          <w:szCs w:val="28"/>
        </w:rPr>
        <w:t>(道德与法治) （取得报考学段及以上思政政治、思想品德教师资格）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马克思主义理论类（科学社会主义、中国共产党历史、思想政治教育、马克思主义理论）；</w:t>
      </w:r>
    </w:p>
    <w:p>
      <w:pPr>
        <w:keepNext w:val="0"/>
        <w:keepLines w:val="0"/>
        <w:pageBreakBefore w:val="0"/>
        <w:kinsoku/>
        <w:wordWrap/>
        <w:overflowPunct/>
        <w:topLinePunct w:val="0"/>
        <w:autoSpaceDE/>
        <w:autoSpaceDN/>
        <w:bidi w:val="0"/>
        <w:adjustRightInd/>
        <w:snapToGrid/>
        <w:spacing w:line="340" w:lineRule="exact"/>
        <w:ind w:firstLine="664" w:firstLineChars="200"/>
        <w:jc w:val="left"/>
        <w:textAlignment w:val="auto"/>
        <w:rPr>
          <w:rFonts w:ascii="Times New Roman" w:hAnsi="Times New Roman" w:cs="Times New Roman"/>
          <w:sz w:val="28"/>
          <w:szCs w:val="28"/>
        </w:rPr>
      </w:pPr>
      <w:r>
        <w:rPr>
          <w:rFonts w:ascii="Times New Roman" w:hAnsi="Times New Roman" w:cs="Times New Roman"/>
          <w:sz w:val="28"/>
          <w:szCs w:val="28"/>
        </w:rPr>
        <w:t>政治学类（政治学与行政学、国际政治、外交学、国际事务与国际关系、030205T政治学、经济学与哲学、国际组织与全球治理）</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小学教育（取得思想政治、道德与法治教师资格或全科教师资格，限报小学道德与法治）</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小学教育（取得思想政治、道德与法治教师资格或全科教师资格，限报小学道德与法治）</w:t>
      </w:r>
      <w:r>
        <w:rPr>
          <w:rFonts w:ascii="Times New Roman" w:hAnsi="Times New Roman" w:cs="Times New Roman"/>
          <w:b/>
          <w:sz w:val="28"/>
          <w:szCs w:val="28"/>
        </w:rPr>
        <w:t>、</w:t>
      </w:r>
      <w:r>
        <w:rPr>
          <w:rFonts w:ascii="Times New Roman" w:hAnsi="Times New Roman" w:cs="Times New Roman"/>
          <w:sz w:val="28"/>
          <w:szCs w:val="28"/>
        </w:rPr>
        <w:t>基础教育、初等教育、义务教育、思想政治教育、政治教育。</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思想政治教育、小学教育（取得思想政治、道德与法治教师资格或全科教师资格）、小学综合教育（取得思想政治、道德与法治教师资格或全科教师资格）、政治教育</w:t>
      </w:r>
      <w:r>
        <w:rPr>
          <w:rFonts w:hint="eastAsia" w:ascii="Times New Roman" w:hAnsi="Times New Roman" w:cs="Times New Roman"/>
          <w:sz w:val="28"/>
          <w:szCs w:val="28"/>
          <w:lang w:eastAsia="zh-CN"/>
        </w:rPr>
        <w:t>、</w:t>
      </w:r>
      <w:r>
        <w:rPr>
          <w:rFonts w:ascii="Times New Roman" w:hAnsi="Times New Roman" w:cs="Times New Roman"/>
          <w:sz w:val="28"/>
          <w:szCs w:val="28"/>
        </w:rPr>
        <w:t>基础教育、义务教育</w:t>
      </w:r>
    </w:p>
    <w:p>
      <w:pPr>
        <w:keepNext w:val="0"/>
        <w:keepLines w:val="0"/>
        <w:pageBreakBefore w:val="0"/>
        <w:kinsoku/>
        <w:wordWrap/>
        <w:overflowPunct/>
        <w:topLinePunct w:val="0"/>
        <w:autoSpaceDE/>
        <w:autoSpaceDN/>
        <w:bidi w:val="0"/>
        <w:adjustRightInd/>
        <w:snapToGrid/>
        <w:spacing w:line="340" w:lineRule="exact"/>
        <w:ind w:firstLine="664" w:firstLineChars="200"/>
        <w:jc w:val="left"/>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十、音乐</w:t>
      </w:r>
      <w:r>
        <w:rPr>
          <w:rFonts w:ascii="Times New Roman" w:hAnsi="Times New Roman" w:cs="Times New Roman"/>
          <w:sz w:val="28"/>
          <w:szCs w:val="28"/>
        </w:rPr>
        <w:t>（取得报考学段及以上音乐教师资格）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音乐与舞蹈学类（音乐表演、音乐学、作曲与作曲技术理论、舞蹈表演、舞蹈学、舞蹈编导、舞蹈教育、航空服务艺术与管理、流行音乐、音乐治疗、流行舞蹈）</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艺术教育、小学教育（取得音乐教师资格或全科教师资格，限报小学音乐）</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小学教育（取得音乐教师资格或全科教师资格，限报小学音乐）</w:t>
      </w:r>
      <w:r>
        <w:rPr>
          <w:rFonts w:ascii="Times New Roman" w:hAnsi="Times New Roman" w:cs="Times New Roman"/>
          <w:b/>
          <w:sz w:val="28"/>
          <w:szCs w:val="28"/>
        </w:rPr>
        <w:t>、</w:t>
      </w:r>
      <w:r>
        <w:rPr>
          <w:rFonts w:ascii="Times New Roman" w:hAnsi="Times New Roman" w:cs="Times New Roman"/>
          <w:sz w:val="28"/>
          <w:szCs w:val="28"/>
        </w:rPr>
        <w:t>基础教育</w:t>
      </w:r>
      <w:r>
        <w:rPr>
          <w:rFonts w:ascii="Times New Roman" w:hAnsi="Times New Roman" w:cs="Times New Roman"/>
          <w:b/>
          <w:sz w:val="28"/>
          <w:szCs w:val="28"/>
        </w:rPr>
        <w:t>、</w:t>
      </w:r>
      <w:r>
        <w:rPr>
          <w:rFonts w:ascii="Times New Roman" w:hAnsi="Times New Roman" w:cs="Times New Roman"/>
          <w:sz w:val="28"/>
          <w:szCs w:val="28"/>
        </w:rPr>
        <w:t>音乐教育。</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音乐教育、小学教育（取得音乐教师资格或全科教师资格，限报小学音乐）、舞蹈教育、艺术教育、表演艺术、音乐表演、舞蹈表演、服装表演、戏剧影视表演、歌舞表演、戏曲表演、曲艺表演、音乐剧表演、国际标准舞、模特与礼仪、现代流行音乐、作曲技术、音乐制作、钢琴伴奏、钢琴调律、舞蹈编导、戏曲导演、舞台艺术设计与制作、音乐。</w:t>
      </w:r>
    </w:p>
    <w:p>
      <w:pPr>
        <w:keepNext w:val="0"/>
        <w:keepLines w:val="0"/>
        <w:pageBreakBefore w:val="0"/>
        <w:kinsoku/>
        <w:wordWrap/>
        <w:overflowPunct/>
        <w:topLinePunct w:val="0"/>
        <w:autoSpaceDE/>
        <w:autoSpaceDN/>
        <w:bidi w:val="0"/>
        <w:adjustRightInd/>
        <w:snapToGrid/>
        <w:spacing w:line="340" w:lineRule="exact"/>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十一、体育</w:t>
      </w:r>
      <w:r>
        <w:rPr>
          <w:rFonts w:ascii="Times New Roman" w:hAnsi="Times New Roman" w:cs="Times New Roman"/>
          <w:sz w:val="28"/>
          <w:szCs w:val="28"/>
        </w:rPr>
        <w:t>（取得报考学段及以上体育教师资格）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体育学类（体育教育、运动训练、社会体育指导与管理、武术与民族传统体育、运动人体科学、运动康复、休闲体育、体能训练、冰雪运动、电子竞技运动与管理、智能体育工程、体育旅游、运动能力开发）</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小学教育（取得体育教师资格或全科教师资格，限报小学体育）</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小学教育（取得体育教师资格或全科教师资格，限报小学体育）</w:t>
      </w:r>
      <w:r>
        <w:rPr>
          <w:rFonts w:ascii="Times New Roman" w:hAnsi="Times New Roman" w:cs="Times New Roman"/>
          <w:b/>
          <w:sz w:val="28"/>
          <w:szCs w:val="28"/>
        </w:rPr>
        <w:t>、</w:t>
      </w:r>
      <w:r>
        <w:rPr>
          <w:rFonts w:ascii="Times New Roman" w:hAnsi="Times New Roman" w:cs="Times New Roman"/>
          <w:sz w:val="28"/>
          <w:szCs w:val="28"/>
        </w:rPr>
        <w:t>基础教育</w:t>
      </w:r>
      <w:r>
        <w:rPr>
          <w:rFonts w:ascii="Times New Roman" w:hAnsi="Times New Roman" w:cs="Times New Roman"/>
          <w:b/>
          <w:sz w:val="28"/>
          <w:szCs w:val="28"/>
        </w:rPr>
        <w:t>、</w:t>
      </w:r>
      <w:r>
        <w:rPr>
          <w:rFonts w:ascii="Times New Roman" w:hAnsi="Times New Roman" w:cs="Times New Roman"/>
          <w:sz w:val="28"/>
          <w:szCs w:val="28"/>
        </w:rPr>
        <w:t>初等教育、义务教育、体育教育</w:t>
      </w:r>
      <w:r>
        <w:rPr>
          <w:rFonts w:ascii="Times New Roman" w:hAnsi="Times New Roman" w:cs="Times New Roman"/>
          <w:b/>
          <w:sz w:val="28"/>
          <w:szCs w:val="28"/>
        </w:rPr>
        <w:t>、</w:t>
      </w:r>
      <w:r>
        <w:rPr>
          <w:rFonts w:ascii="Times New Roman" w:hAnsi="Times New Roman" w:cs="Times New Roman"/>
          <w:sz w:val="28"/>
          <w:szCs w:val="28"/>
        </w:rPr>
        <w:t>运动人体科学、体育与健康教育。</w:t>
      </w:r>
    </w:p>
    <w:p>
      <w:pPr>
        <w:keepNext w:val="0"/>
        <w:keepLines w:val="0"/>
        <w:pageBreakBefore w:val="0"/>
        <w:widowControl w:val="0"/>
        <w:kinsoku/>
        <w:wordWrap/>
        <w:overflowPunct/>
        <w:topLinePunct w:val="0"/>
        <w:autoSpaceDE/>
        <w:autoSpaceDN/>
        <w:bidi w:val="0"/>
        <w:adjustRightInd/>
        <w:snapToGrid/>
        <w:spacing w:after="437" w:afterLines="100"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体育教育、小学教育（取得体育教师资格或全科教师资格，限报小学体育）、运动训练、运动防护、社会体育、休闲体育、高尔夫球运动与管理、民族传统体育、体育艺术表演、体育运营与管理、体育保健与康复、健身指导与管理、小学综合教育（取得体育教师资格或全科教师资格）、体育与健康教育、运动人体科学、基础教育</w:t>
      </w:r>
      <w:r>
        <w:rPr>
          <w:rFonts w:ascii="Times New Roman" w:hAnsi="Times New Roman" w:cs="Times New Roman"/>
          <w:b/>
          <w:sz w:val="28"/>
          <w:szCs w:val="28"/>
        </w:rPr>
        <w:t>、</w:t>
      </w:r>
      <w:r>
        <w:rPr>
          <w:rFonts w:ascii="Times New Roman" w:hAnsi="Times New Roman" w:cs="Times New Roman"/>
          <w:sz w:val="28"/>
          <w:szCs w:val="28"/>
        </w:rPr>
        <w:t>义务教育。</w:t>
      </w: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十二、美术</w:t>
      </w:r>
      <w:r>
        <w:rPr>
          <w:rFonts w:ascii="Times New Roman" w:hAnsi="Times New Roman" w:cs="Times New Roman"/>
          <w:sz w:val="28"/>
          <w:szCs w:val="28"/>
        </w:rPr>
        <w:t>（取得报考学段及以上美术教师资格）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美术学类（美术学、绘画、雕塑、摄影、书法学、中国画、实验艺术、跨媒体艺术、文物保护与修复、漫画）；</w:t>
      </w:r>
    </w:p>
    <w:p>
      <w:pPr>
        <w:keepNext w:val="0"/>
        <w:keepLines w:val="0"/>
        <w:pageBreakBefore w:val="0"/>
        <w:kinsoku/>
        <w:wordWrap/>
        <w:overflowPunct/>
        <w:topLinePunct w:val="0"/>
        <w:autoSpaceDE/>
        <w:autoSpaceDN/>
        <w:bidi w:val="0"/>
        <w:adjustRightInd/>
        <w:snapToGrid/>
        <w:spacing w:line="340" w:lineRule="exact"/>
        <w:ind w:firstLine="664" w:firstLineChars="200"/>
        <w:jc w:val="left"/>
        <w:textAlignment w:val="auto"/>
        <w:rPr>
          <w:rFonts w:ascii="Times New Roman" w:hAnsi="Times New Roman" w:cs="Times New Roman"/>
          <w:sz w:val="28"/>
          <w:szCs w:val="28"/>
        </w:rPr>
      </w:pPr>
      <w:r>
        <w:rPr>
          <w:rFonts w:ascii="Times New Roman" w:hAnsi="Times New Roman" w:cs="Times New Roman"/>
          <w:sz w:val="28"/>
          <w:szCs w:val="28"/>
        </w:rPr>
        <w:t>设计学类（艺术设计学、视觉传达设计、环境设计、产品设计、服装与服饰设计、公共艺术、工艺美术、数字媒体艺术、艺术与科技、陶瓷艺术设计、新媒体艺术、包装设计）</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 xml:space="preserve"> 艺术教育、小学教育（取得美术教师资格或全科教师资格，限报小学美术）</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小学教育（取得美术教师资格或全科教师资格，限报小学美术）</w:t>
      </w:r>
      <w:r>
        <w:rPr>
          <w:rFonts w:ascii="Times New Roman" w:hAnsi="Times New Roman" w:cs="Times New Roman"/>
          <w:b/>
          <w:sz w:val="28"/>
          <w:szCs w:val="28"/>
        </w:rPr>
        <w:t>、</w:t>
      </w:r>
      <w:r>
        <w:rPr>
          <w:rFonts w:ascii="Times New Roman" w:hAnsi="Times New Roman" w:cs="Times New Roman"/>
          <w:sz w:val="28"/>
          <w:szCs w:val="28"/>
        </w:rPr>
        <w:t>电脑美术教育、美术教育、摄影、数字媒体艺术、服装艺术设计、室内设计、视觉传达设计、美术、艺术设计、动画设计、服装设计与工程、动漫设计、游戏艺术设计、环境艺术设计、中国书法。</w:t>
      </w:r>
    </w:p>
    <w:p>
      <w:pPr>
        <w:keepNext w:val="0"/>
        <w:keepLines w:val="0"/>
        <w:pageBreakBefore w:val="0"/>
        <w:widowControl w:val="0"/>
        <w:kinsoku/>
        <w:wordWrap/>
        <w:overflowPunct/>
        <w:topLinePunct w:val="0"/>
        <w:autoSpaceDE/>
        <w:autoSpaceDN/>
        <w:bidi w:val="0"/>
        <w:adjustRightInd/>
        <w:snapToGrid/>
        <w:spacing w:after="437" w:afterLines="100"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美术教育、小学教育（取得美术教师资格或全科教师资格，限报小学美术）、艺术教育、艺术设计、视觉传播设计与制作、广告设计与制作、数字媒体艺术设计、产品艺术设计、家具艺术设计、皮具艺术设计、服装与服饰设计、室内艺术设计、展示艺术设计、环境艺术设计、公共艺术设计、雕刻艺术设计、包装艺术设计、陶瓷设计与工艺、刺绣设计与工艺、玉器设计与工艺、首饰设计与工艺、工艺美术品设计、动漫设计、游戏设计、人物形象设计、美容美体艺术、摄影与摄像艺术、美术、中国书画、服装艺术设计、染织艺术设计、室内设计、视觉传达设计、工艺美术、图片摄影艺术、服装设计、数字媒体艺术、形象设计、动画设计、摄影、动漫设计与制作、装潢设计、装饰艺术、游戏艺术设计、中国书法。</w:t>
      </w: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十三、信息技术</w:t>
      </w:r>
      <w:r>
        <w:rPr>
          <w:rFonts w:ascii="Times New Roman" w:hAnsi="Times New Roman" w:cs="Times New Roman"/>
          <w:sz w:val="28"/>
          <w:szCs w:val="28"/>
        </w:rPr>
        <w:t>（取得报考学段及以上信息技术类教师资格）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b/>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本科一级学科：</w:t>
      </w:r>
      <w:r>
        <w:rPr>
          <w:rFonts w:ascii="Times New Roman" w:hAnsi="Times New Roman" w:cs="Times New Roman"/>
          <w:sz w:val="28"/>
          <w:szCs w:val="28"/>
        </w:rPr>
        <w:t>计算机类（计算机科学与技术、软件工程、网络工程、信息安全、物联网工程、数字媒体技术、智能科学与技术、空间信息与数字技术、电子与计算机工程、数据科学与大数据技术、网络空间安全、新媒体技术、电影制作、保密技术、服务科学与工程、虚拟现实技术、区块链工程）</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w:t>
      </w:r>
      <w:r>
        <w:rPr>
          <w:rFonts w:ascii="Times New Roman" w:hAnsi="Times New Roman" w:cs="Times New Roman"/>
          <w:sz w:val="28"/>
          <w:szCs w:val="28"/>
        </w:rPr>
        <w:t>教育技术学、小学教育（取得信息技术教师资格或全科教师资格，限报小学信息技术）</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教育技术</w:t>
      </w:r>
      <w:r>
        <w:rPr>
          <w:rFonts w:ascii="Times New Roman" w:hAnsi="Times New Roman" w:cs="Times New Roman"/>
          <w:b/>
          <w:sz w:val="28"/>
          <w:szCs w:val="28"/>
        </w:rPr>
        <w:t>、</w:t>
      </w:r>
      <w:r>
        <w:rPr>
          <w:rFonts w:ascii="Times New Roman" w:hAnsi="Times New Roman" w:cs="Times New Roman"/>
          <w:sz w:val="28"/>
          <w:szCs w:val="28"/>
        </w:rPr>
        <w:t>小学教育（取得信息技术教师资格或全科教师资格，限报小学信息技术）</w:t>
      </w:r>
      <w:r>
        <w:rPr>
          <w:rFonts w:ascii="Times New Roman" w:hAnsi="Times New Roman" w:cs="Times New Roman"/>
          <w:b/>
          <w:sz w:val="28"/>
          <w:szCs w:val="28"/>
        </w:rPr>
        <w:t>、</w:t>
      </w:r>
      <w:r>
        <w:rPr>
          <w:rFonts w:ascii="Times New Roman" w:hAnsi="Times New Roman" w:cs="Times New Roman"/>
          <w:sz w:val="28"/>
          <w:szCs w:val="28"/>
        </w:rPr>
        <w:t>计算机及应用、计算机网络、计算机软件、信息技术教育、计算机教育、软件工程、网络工程、计算机软件及应用、计算机应用、计算机科学教育、动画、计算机科学与技术、信息安全、计算机器件及设备、信息安全与网络管理、移动商务技术、嵌入式技术、物联网工程、数字媒体技术、网络管理、计算机应用软件。</w:t>
      </w:r>
    </w:p>
    <w:p>
      <w:pPr>
        <w:keepNext w:val="0"/>
        <w:keepLines w:val="0"/>
        <w:pageBreakBefore w:val="0"/>
        <w:widowControl w:val="0"/>
        <w:kinsoku/>
        <w:wordWrap/>
        <w:overflowPunct/>
        <w:topLinePunct w:val="0"/>
        <w:autoSpaceDE/>
        <w:autoSpaceDN/>
        <w:bidi w:val="0"/>
        <w:adjustRightInd/>
        <w:snapToGrid/>
        <w:spacing w:after="437" w:afterLines="100"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计算机教育、小学教育（取得信息技术教师资格或全科教师资格）、现代教育技术、计算机应用技术、计算机网络技术、计算机信息管理、计算机系统与维护、软件技术、软件与信息服务、动漫制作技术、嵌入式技术与应用、数字展示技术、数字媒体应用技术、信息安全与管理、移动应用开发、云计算技术与应用、电子商务技术、教育技术、小学综合教育（取得信息技术教师资格或全科教师资格）、计算机及应用、计算机网络、计算机应用及维护、计算机应用、计算机技术与应用、现代信息技术教育、网络工程、计算机软件与应用、计算机科学、计算机与通信工程、计算机科学与技术、信息安全、动画、软件工程、计算机网络及应用、计算机控制技术、数字多媒体技术、计算机应用教育、网络技术应用、计算机硬件维护、信息安全与网络管理、软件技术、网络技术应用与服务、移动商务技术、嵌入式技术、网络传媒设计、计算机软件。</w:t>
      </w: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十四、科学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不限所学专业（取得小学或初中科学教师资格；高中通用技术或综合实践活动教师资格；初中或高中物理、化学、生物教师资格）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 xml:space="preserve">本科一级学科：物理学类专业 </w:t>
      </w:r>
      <w:r>
        <w:rPr>
          <w:rFonts w:ascii="Times New Roman" w:hAnsi="Times New Roman" w:cs="Times New Roman"/>
          <w:sz w:val="28"/>
          <w:szCs w:val="28"/>
        </w:rPr>
        <w:t>(取得小学或初中科学教师资格；高中通用技术或综合实践活动教师资格；初中或高中物理教师资格)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化学类专业</w:t>
      </w:r>
      <w:r>
        <w:rPr>
          <w:rFonts w:ascii="Times New Roman" w:hAnsi="Times New Roman" w:cs="Times New Roman"/>
          <w:sz w:val="28"/>
          <w:szCs w:val="28"/>
        </w:rPr>
        <w:t xml:space="preserve"> (取得小学或初中科学教师资格；高中通用技术或综合实践活动教师资格；初中或高中化学教师资格)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生物科学类专业</w:t>
      </w:r>
      <w:r>
        <w:rPr>
          <w:rFonts w:ascii="Times New Roman" w:hAnsi="Times New Roman" w:cs="Times New Roman"/>
          <w:sz w:val="28"/>
          <w:szCs w:val="28"/>
        </w:rPr>
        <w:t xml:space="preserve"> (取得小学或初中科学教师资格；高中通用技术或综合实践活动教师资格；初中或高中生物教师资格)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本科二级学科：科学教育</w:t>
      </w:r>
      <w:r>
        <w:rPr>
          <w:rFonts w:ascii="Times New Roman" w:hAnsi="Times New Roman" w:cs="Times New Roman"/>
          <w:sz w:val="28"/>
          <w:szCs w:val="28"/>
        </w:rPr>
        <w:t>(取得小学或初中科学教师资格；初中或高中物理、化学、生物、高中通用技术、综合实践活动教师资格)；</w:t>
      </w:r>
      <w:r>
        <w:rPr>
          <w:rFonts w:ascii="Times New Roman" w:hAnsi="Times New Roman" w:cs="Times New Roman"/>
          <w:b/>
          <w:sz w:val="28"/>
          <w:szCs w:val="28"/>
        </w:rPr>
        <w:t>小学教育</w:t>
      </w:r>
      <w:r>
        <w:rPr>
          <w:rFonts w:ascii="Times New Roman" w:hAnsi="Times New Roman" w:cs="Times New Roman"/>
          <w:sz w:val="28"/>
          <w:szCs w:val="28"/>
        </w:rPr>
        <w:t>（取得科学教师资格或全科教师资格，限报小学科学）。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其他院校本科：小学教育</w:t>
      </w:r>
      <w:r>
        <w:rPr>
          <w:rFonts w:ascii="Times New Roman" w:hAnsi="Times New Roman" w:cs="Times New Roman"/>
          <w:sz w:val="28"/>
          <w:szCs w:val="28"/>
        </w:rPr>
        <w:t>（取得科学教师资格或全科教师资格，限报小学科学）、</w:t>
      </w:r>
      <w:r>
        <w:rPr>
          <w:rFonts w:ascii="Times New Roman" w:hAnsi="Times New Roman" w:cs="Times New Roman"/>
          <w:b/>
          <w:sz w:val="28"/>
          <w:szCs w:val="28"/>
        </w:rPr>
        <w:t>物理教育</w:t>
      </w:r>
      <w:r>
        <w:rPr>
          <w:rFonts w:ascii="Times New Roman" w:hAnsi="Times New Roman" w:cs="Times New Roman"/>
          <w:sz w:val="28"/>
          <w:szCs w:val="28"/>
        </w:rPr>
        <w:t>(取得小学或初中科学教师资格；高中通用技术或综合实践活动教师资格；初中或高中物理教师资格)、</w:t>
      </w:r>
      <w:r>
        <w:rPr>
          <w:rFonts w:ascii="Times New Roman" w:hAnsi="Times New Roman" w:cs="Times New Roman"/>
          <w:b/>
          <w:sz w:val="28"/>
          <w:szCs w:val="28"/>
        </w:rPr>
        <w:t>化学教育</w:t>
      </w:r>
      <w:r>
        <w:rPr>
          <w:rFonts w:ascii="Times New Roman" w:hAnsi="Times New Roman" w:cs="Times New Roman"/>
          <w:sz w:val="28"/>
          <w:szCs w:val="28"/>
        </w:rPr>
        <w:t>(取得小学或初中科学教师资格；高中通用技术或综合实践活动教师资格；初中或高中化学教师资格)、</w:t>
      </w:r>
      <w:r>
        <w:rPr>
          <w:rFonts w:ascii="Times New Roman" w:hAnsi="Times New Roman" w:cs="Times New Roman"/>
          <w:b/>
          <w:sz w:val="28"/>
          <w:szCs w:val="28"/>
        </w:rPr>
        <w:t>生物教育、生物工程、生物技术和生物科学</w:t>
      </w:r>
      <w:r>
        <w:rPr>
          <w:rFonts w:ascii="Times New Roman" w:hAnsi="Times New Roman" w:cs="Times New Roman"/>
          <w:sz w:val="28"/>
          <w:szCs w:val="28"/>
        </w:rPr>
        <w:t>(取得小学或初中科学教师资格；高中通用技术或综合实践活动教师资格；初中或高中生物教师资格) 、</w:t>
      </w:r>
      <w:r>
        <w:rPr>
          <w:rFonts w:ascii="Times New Roman" w:hAnsi="Times New Roman" w:cs="Times New Roman"/>
          <w:b/>
          <w:sz w:val="28"/>
          <w:szCs w:val="28"/>
        </w:rPr>
        <w:t>应用科技教育</w:t>
      </w:r>
      <w:r>
        <w:rPr>
          <w:rFonts w:ascii="Times New Roman" w:hAnsi="Times New Roman" w:cs="Times New Roman"/>
          <w:sz w:val="28"/>
          <w:szCs w:val="28"/>
        </w:rPr>
        <w:t>（取得小学或初中科学教师资格；高中通用技术或综合实践活动教师资格；初中或高中物理、化学、生物教师资格）。</w:t>
      </w:r>
    </w:p>
    <w:p>
      <w:pPr>
        <w:keepNext w:val="0"/>
        <w:keepLines w:val="0"/>
        <w:pageBreakBefore w:val="0"/>
        <w:widowControl w:val="0"/>
        <w:kinsoku/>
        <w:wordWrap/>
        <w:overflowPunct/>
        <w:topLinePunct w:val="0"/>
        <w:autoSpaceDE/>
        <w:autoSpaceDN/>
        <w:bidi w:val="0"/>
        <w:adjustRightInd/>
        <w:snapToGrid/>
        <w:spacing w:after="437" w:afterLines="100"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w:t>
      </w:r>
      <w:r>
        <w:rPr>
          <w:rFonts w:ascii="Times New Roman" w:hAnsi="Times New Roman" w:cs="Times New Roman"/>
          <w:b/>
          <w:sz w:val="28"/>
          <w:szCs w:val="28"/>
        </w:rPr>
        <w:t>科学教育</w:t>
      </w:r>
      <w:r>
        <w:rPr>
          <w:rFonts w:ascii="Times New Roman" w:hAnsi="Times New Roman" w:cs="Times New Roman"/>
          <w:sz w:val="28"/>
          <w:szCs w:val="28"/>
        </w:rPr>
        <w:t>(取得小学或初中科学教师资格；初中物理、化学、生物教师资格)，</w:t>
      </w:r>
      <w:r>
        <w:rPr>
          <w:rFonts w:ascii="Times New Roman" w:hAnsi="Times New Roman" w:cs="Times New Roman"/>
          <w:b/>
          <w:sz w:val="28"/>
          <w:szCs w:val="28"/>
        </w:rPr>
        <w:t>物理教育</w:t>
      </w:r>
      <w:r>
        <w:rPr>
          <w:rFonts w:ascii="Times New Roman" w:hAnsi="Times New Roman" w:cs="Times New Roman"/>
          <w:sz w:val="28"/>
          <w:szCs w:val="28"/>
        </w:rPr>
        <w:t>（取得小学或初中科学教师资格；初中物理教师资格）、</w:t>
      </w:r>
      <w:r>
        <w:rPr>
          <w:rFonts w:ascii="Times New Roman" w:hAnsi="Times New Roman" w:cs="Times New Roman"/>
          <w:b/>
          <w:sz w:val="28"/>
          <w:szCs w:val="28"/>
        </w:rPr>
        <w:t>化学教育</w:t>
      </w:r>
      <w:r>
        <w:rPr>
          <w:rFonts w:ascii="Times New Roman" w:hAnsi="Times New Roman" w:cs="Times New Roman"/>
          <w:sz w:val="28"/>
          <w:szCs w:val="28"/>
        </w:rPr>
        <w:t>（取得小学或初中科学教师资格；初中化学教师资格）、</w:t>
      </w:r>
      <w:r>
        <w:rPr>
          <w:rFonts w:ascii="Times New Roman" w:hAnsi="Times New Roman" w:cs="Times New Roman"/>
          <w:b/>
          <w:sz w:val="28"/>
          <w:szCs w:val="28"/>
        </w:rPr>
        <w:t>生物教育</w:t>
      </w:r>
      <w:r>
        <w:rPr>
          <w:rFonts w:ascii="Times New Roman" w:hAnsi="Times New Roman" w:cs="Times New Roman"/>
          <w:sz w:val="28"/>
          <w:szCs w:val="28"/>
        </w:rPr>
        <w:t>（取得小学或初中科学教师资格；初中生物教师资格）、</w:t>
      </w:r>
      <w:r>
        <w:rPr>
          <w:rFonts w:ascii="Times New Roman" w:hAnsi="Times New Roman" w:cs="Times New Roman"/>
          <w:b/>
          <w:sz w:val="28"/>
          <w:szCs w:val="28"/>
        </w:rPr>
        <w:t>小学教育</w:t>
      </w:r>
      <w:r>
        <w:rPr>
          <w:rFonts w:ascii="Times New Roman" w:hAnsi="Times New Roman" w:cs="Times New Roman"/>
          <w:sz w:val="28"/>
          <w:szCs w:val="28"/>
        </w:rPr>
        <w:t>（取得科学教师资格或全科教师资格，限报小学科学）、</w:t>
      </w:r>
      <w:r>
        <w:rPr>
          <w:rFonts w:ascii="Times New Roman" w:hAnsi="Times New Roman" w:cs="Times New Roman"/>
          <w:b/>
          <w:sz w:val="28"/>
          <w:szCs w:val="28"/>
        </w:rPr>
        <w:t>小学综合教育</w:t>
      </w:r>
      <w:r>
        <w:rPr>
          <w:rFonts w:ascii="Times New Roman" w:hAnsi="Times New Roman" w:cs="Times New Roman"/>
          <w:sz w:val="28"/>
          <w:szCs w:val="28"/>
        </w:rPr>
        <w:t>（取得科学教师资格或全科教师资格）、</w:t>
      </w:r>
      <w:r>
        <w:rPr>
          <w:rFonts w:ascii="Times New Roman" w:hAnsi="Times New Roman" w:cs="Times New Roman"/>
          <w:b/>
          <w:sz w:val="28"/>
          <w:szCs w:val="28"/>
        </w:rPr>
        <w:t>应用科技教育</w:t>
      </w:r>
      <w:r>
        <w:rPr>
          <w:rFonts w:ascii="Times New Roman" w:hAnsi="Times New Roman" w:cs="Times New Roman"/>
          <w:sz w:val="28"/>
          <w:szCs w:val="28"/>
        </w:rPr>
        <w:t>（取得小学或初中科学教师资格；初中物理、化学、生物教师资格）。</w:t>
      </w: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十五、心理健康</w:t>
      </w:r>
      <w:r>
        <w:rPr>
          <w:rFonts w:ascii="Times New Roman" w:hAnsi="Times New Roman" w:cs="Times New Roman"/>
          <w:sz w:val="28"/>
          <w:szCs w:val="28"/>
        </w:rPr>
        <w:t>（取得报考学段及以上心理健康教师资格）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w:t>
      </w:r>
      <w:r>
        <w:rPr>
          <w:rFonts w:ascii="Times New Roman" w:hAnsi="Times New Roman" w:cs="Times New Roman"/>
          <w:sz w:val="28"/>
          <w:szCs w:val="28"/>
        </w:rPr>
        <w:t>一级学科：心理学类（心理学、应用心理学）</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w:t>
      </w:r>
      <w:r>
        <w:rPr>
          <w:rFonts w:ascii="Times New Roman" w:hAnsi="Times New Roman" w:cs="Times New Roman"/>
          <w:sz w:val="28"/>
          <w:szCs w:val="28"/>
        </w:rPr>
        <w:t>二级学科：小学教育（取得心理健康教师资格或全科教师资格，限报小学心理健康）</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其他院校本科：</w:t>
      </w:r>
      <w:r>
        <w:rPr>
          <w:rFonts w:ascii="Times New Roman" w:hAnsi="Times New Roman" w:cs="Times New Roman"/>
          <w:sz w:val="28"/>
          <w:szCs w:val="28"/>
        </w:rPr>
        <w:t>心理健康教育</w:t>
      </w:r>
      <w:r>
        <w:rPr>
          <w:rFonts w:ascii="Times New Roman" w:hAnsi="Times New Roman" w:cs="Times New Roman"/>
          <w:b/>
          <w:sz w:val="28"/>
          <w:szCs w:val="28"/>
        </w:rPr>
        <w:t>、</w:t>
      </w:r>
      <w:r>
        <w:rPr>
          <w:rFonts w:ascii="Times New Roman" w:hAnsi="Times New Roman" w:cs="Times New Roman"/>
          <w:sz w:val="28"/>
          <w:szCs w:val="28"/>
        </w:rPr>
        <w:t>应用心理学、心理学。</w:t>
      </w:r>
    </w:p>
    <w:p>
      <w:pPr>
        <w:keepNext w:val="0"/>
        <w:keepLines w:val="0"/>
        <w:pageBreakBefore w:val="0"/>
        <w:widowControl w:val="0"/>
        <w:kinsoku/>
        <w:wordWrap/>
        <w:overflowPunct/>
        <w:topLinePunct w:val="0"/>
        <w:autoSpaceDE/>
        <w:autoSpaceDN/>
        <w:bidi w:val="0"/>
        <w:adjustRightInd/>
        <w:snapToGrid/>
        <w:spacing w:after="437" w:afterLines="100"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高等师范专科学历和非师范院校师范教育类专业大专学历（限报小学），</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小学教育（取得心理健康教师资格或全科教师资格）、应用心理学、心理咨询、心理健康教育、心理学。</w:t>
      </w:r>
    </w:p>
    <w:p>
      <w:pPr>
        <w:keepNext w:val="0"/>
        <w:keepLines w:val="0"/>
        <w:pageBreakBefore w:val="0"/>
        <w:kinsoku/>
        <w:wordWrap/>
        <w:overflowPunct/>
        <w:topLinePunct w:val="0"/>
        <w:autoSpaceDE/>
        <w:autoSpaceDN/>
        <w:bidi w:val="0"/>
        <w:adjustRightInd/>
        <w:snapToGrid/>
        <w:spacing w:line="340" w:lineRule="exact"/>
        <w:ind w:firstLine="706" w:firstLineChars="200"/>
        <w:jc w:val="left"/>
        <w:textAlignment w:val="auto"/>
        <w:rPr>
          <w:rFonts w:ascii="Times New Roman" w:hAnsi="Times New Roman" w:cs="Times New Roman"/>
          <w:sz w:val="28"/>
          <w:szCs w:val="28"/>
        </w:rPr>
      </w:pPr>
      <w:r>
        <w:rPr>
          <w:rFonts w:hint="eastAsia" w:ascii="黑体" w:hAnsi="黑体" w:eastAsia="黑体" w:cs="黑体"/>
          <w:b/>
          <w:bCs/>
          <w:sz w:val="30"/>
          <w:szCs w:val="30"/>
        </w:rPr>
        <w:t>十六、幼儿园</w:t>
      </w:r>
      <w:r>
        <w:rPr>
          <w:rFonts w:ascii="Times New Roman" w:hAnsi="Times New Roman" w:cs="Times New Roman"/>
          <w:sz w:val="28"/>
          <w:szCs w:val="28"/>
        </w:rPr>
        <w:t>（取得幼儿园教师资格或中职学前教育教师资格）</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硕士研究生：</w:t>
      </w:r>
      <w:r>
        <w:rPr>
          <w:rFonts w:ascii="Times New Roman" w:hAnsi="Times New Roman" w:cs="Times New Roman"/>
          <w:sz w:val="28"/>
          <w:szCs w:val="28"/>
        </w:rPr>
        <w:t>不限所学专业</w:t>
      </w:r>
    </w:p>
    <w:p>
      <w:pPr>
        <w:keepNext w:val="0"/>
        <w:keepLines w:val="0"/>
        <w:pageBreakBefore w:val="0"/>
        <w:kinsoku/>
        <w:wordWrap/>
        <w:overflowPunct/>
        <w:topLinePunct w:val="0"/>
        <w:autoSpaceDE/>
        <w:autoSpaceDN/>
        <w:bidi w:val="0"/>
        <w:adjustRightInd/>
        <w:snapToGrid/>
        <w:spacing w:line="340" w:lineRule="exact"/>
        <w:ind w:firstLine="666" w:firstLineChars="200"/>
        <w:jc w:val="left"/>
        <w:textAlignment w:val="auto"/>
        <w:rPr>
          <w:rFonts w:ascii="Times New Roman" w:hAnsi="Times New Roman" w:cs="Times New Roman"/>
          <w:sz w:val="28"/>
          <w:szCs w:val="28"/>
        </w:rPr>
      </w:pPr>
      <w:r>
        <w:rPr>
          <w:rFonts w:ascii="Times New Roman" w:hAnsi="Times New Roman" w:cs="Times New Roman"/>
          <w:b/>
          <w:sz w:val="28"/>
          <w:szCs w:val="28"/>
        </w:rPr>
        <w:t>本科</w:t>
      </w:r>
      <w:r>
        <w:rPr>
          <w:rFonts w:ascii="Times New Roman" w:hAnsi="Times New Roman" w:cs="Times New Roman"/>
          <w:sz w:val="28"/>
          <w:szCs w:val="28"/>
        </w:rPr>
        <w:t>二级学科：学前教育、各县（区、市）自定的其他专业</w:t>
      </w:r>
    </w:p>
    <w:p>
      <w:pPr>
        <w:keepNext w:val="0"/>
        <w:keepLines w:val="0"/>
        <w:pageBreakBefore w:val="0"/>
        <w:kinsoku/>
        <w:wordWrap/>
        <w:overflowPunct/>
        <w:topLinePunct w:val="0"/>
        <w:autoSpaceDE/>
        <w:autoSpaceDN/>
        <w:bidi w:val="0"/>
        <w:adjustRightInd/>
        <w:snapToGrid/>
        <w:spacing w:line="340" w:lineRule="exact"/>
        <w:ind w:firstLine="660" w:firstLineChars="198"/>
        <w:jc w:val="left"/>
        <w:textAlignment w:val="auto"/>
        <w:rPr>
          <w:rFonts w:ascii="Times New Roman" w:hAnsi="Times New Roman" w:cs="Times New Roman"/>
          <w:sz w:val="28"/>
          <w:szCs w:val="28"/>
        </w:rPr>
      </w:pPr>
      <w:r>
        <w:rPr>
          <w:rFonts w:ascii="Times New Roman" w:hAnsi="Times New Roman" w:cs="Times New Roman"/>
          <w:b/>
          <w:sz w:val="28"/>
          <w:szCs w:val="28"/>
        </w:rPr>
        <w:t>高等师范专科学历和非师范院校师范教育类专业大专学历，</w:t>
      </w:r>
      <w:r>
        <w:rPr>
          <w:rFonts w:ascii="Times New Roman" w:hAnsi="Times New Roman" w:cs="Times New Roman"/>
          <w:sz w:val="28"/>
          <w:szCs w:val="28"/>
        </w:rPr>
        <w:t>其中：非师范院校师范教育类专业大专学历需要提供教育主管部门批准为师范教育类专业的文件(或提供成绩单，成绩单含有教育学、教育心理学、教材教法、教育实习课程)：早期教育、学前教育、各县（区、市）自定的其他专业。</w:t>
      </w:r>
    </w:p>
    <w:p>
      <w:pPr>
        <w:keepNext w:val="0"/>
        <w:keepLines w:val="0"/>
        <w:pageBreakBefore w:val="0"/>
        <w:kinsoku/>
        <w:wordWrap/>
        <w:overflowPunct/>
        <w:topLinePunct w:val="0"/>
        <w:autoSpaceDE/>
        <w:autoSpaceDN/>
        <w:bidi w:val="0"/>
        <w:adjustRightInd/>
        <w:snapToGrid/>
        <w:spacing w:line="340" w:lineRule="exact"/>
        <w:ind w:firstLine="657" w:firstLineChars="198"/>
        <w:jc w:val="left"/>
        <w:textAlignment w:val="auto"/>
        <w:rPr>
          <w:rFonts w:ascii="Times New Roman" w:hAnsi="Times New Roman" w:cs="Times New Roman"/>
          <w:sz w:val="28"/>
          <w:szCs w:val="28"/>
        </w:rPr>
      </w:pPr>
    </w:p>
    <w:p>
      <w:pPr>
        <w:keepNext w:val="0"/>
        <w:keepLines w:val="0"/>
        <w:pageBreakBefore w:val="0"/>
        <w:kinsoku/>
        <w:wordWrap/>
        <w:overflowPunct/>
        <w:topLinePunct w:val="0"/>
        <w:autoSpaceDE/>
        <w:autoSpaceDN/>
        <w:bidi w:val="0"/>
        <w:adjustRightInd/>
        <w:snapToGrid/>
        <w:spacing w:line="340" w:lineRule="exact"/>
        <w:ind w:firstLine="699" w:firstLineChars="198"/>
        <w:jc w:val="left"/>
        <w:textAlignment w:val="auto"/>
        <w:rPr>
          <w:rFonts w:ascii="Times New Roman" w:hAnsi="Times New Roman" w:cs="Times New Roman"/>
          <w:sz w:val="28"/>
          <w:szCs w:val="28"/>
        </w:rPr>
      </w:pPr>
      <w:r>
        <w:rPr>
          <w:rFonts w:hint="eastAsia" w:ascii="黑体" w:hAnsi="黑体" w:eastAsia="黑体" w:cs="黑体"/>
          <w:b/>
          <w:bCs/>
          <w:sz w:val="30"/>
          <w:szCs w:val="30"/>
        </w:rPr>
        <w:t>特别说明</w:t>
      </w:r>
      <w:r>
        <w:rPr>
          <w:rFonts w:ascii="Times New Roman" w:hAnsi="Times New Roman" w:cs="Times New Roman"/>
          <w:b/>
          <w:sz w:val="28"/>
          <w:szCs w:val="28"/>
        </w:rPr>
        <w:t>：</w:t>
      </w:r>
    </w:p>
    <w:p>
      <w:pPr>
        <w:keepNext w:val="0"/>
        <w:keepLines w:val="0"/>
        <w:pageBreakBefore w:val="0"/>
        <w:kinsoku/>
        <w:wordWrap/>
        <w:overflowPunct/>
        <w:topLinePunct w:val="0"/>
        <w:autoSpaceDE/>
        <w:autoSpaceDN/>
        <w:bidi w:val="0"/>
        <w:adjustRightInd/>
        <w:snapToGrid/>
        <w:spacing w:line="340" w:lineRule="exact"/>
        <w:ind w:firstLine="664" w:firstLineChars="200"/>
        <w:jc w:val="left"/>
        <w:textAlignment w:val="auto"/>
        <w:rPr>
          <w:rFonts w:ascii="Times New Roman" w:hAnsi="Times New Roman" w:cs="Times New Roman"/>
          <w:sz w:val="28"/>
          <w:szCs w:val="28"/>
        </w:rPr>
      </w:pPr>
      <w:r>
        <w:rPr>
          <w:rFonts w:ascii="Times New Roman" w:hAnsi="Times New Roman" w:cs="Times New Roman"/>
          <w:sz w:val="28"/>
          <w:szCs w:val="28"/>
        </w:rPr>
        <w:t>1.如果对专业存在争议，以教育部“学信网”查询的考生当年高考录取专业名称为准；</w:t>
      </w:r>
    </w:p>
    <w:p>
      <w:pPr>
        <w:keepNext w:val="0"/>
        <w:keepLines w:val="0"/>
        <w:pageBreakBefore w:val="0"/>
        <w:kinsoku/>
        <w:wordWrap/>
        <w:overflowPunct/>
        <w:topLinePunct w:val="0"/>
        <w:autoSpaceDE/>
        <w:autoSpaceDN/>
        <w:bidi w:val="0"/>
        <w:adjustRightInd/>
        <w:snapToGrid/>
        <w:spacing w:line="340" w:lineRule="exact"/>
        <w:ind w:firstLine="664" w:firstLineChars="200"/>
        <w:jc w:val="left"/>
        <w:textAlignment w:val="auto"/>
        <w:rPr>
          <w:rFonts w:ascii="Times New Roman" w:hAnsi="Times New Roman" w:cs="Times New Roman"/>
          <w:sz w:val="28"/>
          <w:szCs w:val="28"/>
        </w:rPr>
      </w:pPr>
      <w:r>
        <w:rPr>
          <w:rFonts w:ascii="Times New Roman" w:hAnsi="Times New Roman" w:cs="Times New Roman"/>
          <w:sz w:val="28"/>
          <w:szCs w:val="28"/>
        </w:rPr>
        <w:t>2.XX专业(XX师资方向、XX教育方向、XX教育、XX方向)，如果(XX师资方向、XX教育方向、XX教育、XX方向)与所报考学科一致，可以报考；</w:t>
      </w:r>
    </w:p>
    <w:p>
      <w:pPr>
        <w:keepNext w:val="0"/>
        <w:keepLines w:val="0"/>
        <w:pageBreakBefore w:val="0"/>
        <w:widowControl/>
        <w:kinsoku/>
        <w:wordWrap/>
        <w:overflowPunct/>
        <w:topLinePunct w:val="0"/>
        <w:autoSpaceDE/>
        <w:autoSpaceDN/>
        <w:bidi w:val="0"/>
        <w:adjustRightInd/>
        <w:snapToGrid/>
        <w:spacing w:line="340" w:lineRule="exact"/>
        <w:textAlignment w:val="auto"/>
        <w:rPr>
          <w:rFonts w:ascii="Times New Roman" w:hAnsi="Times New Roman" w:cs="Times New Roman"/>
          <w:sz w:val="30"/>
          <w:szCs w:val="30"/>
        </w:rPr>
      </w:pPr>
      <w:r>
        <w:rPr>
          <w:rFonts w:ascii="Times New Roman" w:hAnsi="Times New Roman" w:cs="Times New Roman"/>
          <w:sz w:val="28"/>
          <w:szCs w:val="28"/>
        </w:rPr>
        <w:t>3. 《普通高等学校本科专业目录新旧专业对照表》2012版、《普通高等学校高等职业教育（专科）专业目录新旧专业对照表》中新二级学科专业包含的原二级学科专业，按新二级学科专业对待。</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2A56A1"/>
    <w:rsid w:val="442A56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宋体" w:eastAsia="仿宋_GB2312" w:cs="宋体"/>
      <w:spacing w:val="26"/>
      <w:sz w:val="32"/>
      <w:szCs w:val="32"/>
      <w:lang w:val="en-US" w:eastAsia="zh-CN" w:bidi="ar-SA"/>
    </w:rPr>
  </w:style>
  <w:style w:type="paragraph" w:styleId="2">
    <w:name w:val="heading 2"/>
    <w:basedOn w:val="1"/>
    <w:next w:val="1"/>
    <w:qFormat/>
    <w:uiPriority w:val="0"/>
    <w:pPr>
      <w:keepNext/>
      <w:keepLines/>
      <w:spacing w:before="260" w:after="260" w:line="416" w:lineRule="auto"/>
      <w:outlineLvl w:val="1"/>
    </w:pPr>
    <w:rPr>
      <w:rFonts w:ascii="Arial" w:hAnsi="Arial" w:eastAsia="黑体" w:cs="Times New Roman"/>
      <w:b/>
      <w:bCs/>
      <w:sz w:val="32"/>
      <w:szCs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宋体" w:eastAsia="宋体"/>
      <w:spacing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2021-06-24T01:13:00Z</dcterms:created>
  <dc:creator>新文泰教育</dc:creator>
  <cp:lastModifiedBy>新文泰教育</cp:lastModifiedBy>
  <dcterms:modified xsi:type="dcterms:W3CDTF">2021-06-24T01:13:43Z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5E0BF6DB6F6D409CBAF0E1BDF22BB1B6</vt:lpwstr>
  </property>
</Properties>
</file>