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附件4：</w:t>
      </w:r>
    </w:p>
    <w:p>
      <w:pPr>
        <w:spacing w:line="560" w:lineRule="exact"/>
        <w:ind w:firstLine="440" w:firstLineChars="100"/>
        <w:rPr>
          <w:rFonts w:hint="eastAsia"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遵义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市2020年特岗教师招聘“报考学科与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所学专业一致或相近”的统一界定</w:t>
      </w:r>
    </w:p>
    <w:p>
      <w:pPr>
        <w:spacing w:line="500" w:lineRule="exact"/>
        <w:ind w:firstLine="600" w:firstLineChars="200"/>
        <w:rPr>
          <w:rFonts w:hint="eastAsia" w:ascii="仿宋_GB2312" w:hAnsi="仿宋" w:eastAsia="仿宋_GB2312"/>
          <w:color w:val="000000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根据《贵州省2020年农村义务教育阶段学校教师特设岗位计划实施方案》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中央“特岗计划”招聘对象和条件中第2、3、4条要求，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经市教育局、各县、区（市）教育局商定，2020年特岗教师招聘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“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所学专业与报考岗位学科须一致或相近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”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统一界定如下：</w:t>
      </w:r>
    </w:p>
    <w:p>
      <w:pPr>
        <w:spacing w:line="500" w:lineRule="exact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　　</w:t>
      </w:r>
      <w:r>
        <w:rPr>
          <w:rFonts w:hint="eastAsia" w:ascii="黑体" w:hAnsi="黑体" w:eastAsia="黑体"/>
          <w:color w:val="000000"/>
          <w:sz w:val="30"/>
          <w:szCs w:val="30"/>
        </w:rPr>
        <w:t>一、语文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本科一级学科：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中国语言文学类</w:t>
      </w:r>
      <w:r>
        <w:rPr>
          <w:rFonts w:hint="eastAsia" w:ascii="仿宋_GB2312" w:eastAsia="仿宋_GB2312"/>
          <w:color w:val="000000"/>
          <w:sz w:val="30"/>
          <w:szCs w:val="30"/>
        </w:rPr>
        <w:t>（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汉语言文学、汉语言、汉语国际教育、中国少数民族语言文学、古典文献学、应用语言学、秘书学）。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小学教育（限报小学语文）、华文教育、人文教育、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教育学（需取得语文教师资格证）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专科：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语文教育、综合文科教育、初等教育、汉语、文秘、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中国少数民族语言文化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二、数学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本科一级学科：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数学类（数学与应用数学、信息与计算科学、数理基础科学）。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color w:val="000000"/>
          <w:sz w:val="30"/>
          <w:szCs w:val="30"/>
          <w:u w:val="single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小学教育（限报小学数学）、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教育学（需取得数学教师资格证）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专科：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数学教育、初等教育、综合理科教育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三、英语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sz w:val="30"/>
          <w:szCs w:val="30"/>
          <w:bdr w:val="single" w:color="auto" w:sz="4" w:space="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英语、翻译、商务英语、</w:t>
      </w:r>
      <w:r>
        <w:rPr>
          <w:rFonts w:hint="eastAsia" w:ascii="仿宋_GB2312" w:hAnsi="宋体" w:eastAsia="仿宋_GB2312"/>
          <w:sz w:val="30"/>
          <w:szCs w:val="30"/>
        </w:rPr>
        <w:t>小学教育（限报小学英语）</w:t>
      </w:r>
    </w:p>
    <w:p>
      <w:pPr>
        <w:spacing w:line="500" w:lineRule="exact"/>
        <w:ind w:firstLine="600" w:firstLineChars="200"/>
        <w:jc w:val="left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专科：英语教育、商务英语、应用英语、旅游英语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四、物理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本科一级学科：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物理学类（物理学、 应用物理学、核物理、声学）</w:t>
      </w:r>
    </w:p>
    <w:p>
      <w:pPr>
        <w:spacing w:line="500" w:lineRule="exact"/>
        <w:ind w:firstLine="602" w:firstLineChars="200"/>
        <w:jc w:val="left"/>
        <w:rPr>
          <w:rFonts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专科：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物理教育、综合理科教育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五、化学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本科一级学科：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化学类（化学、应用化学、化学生物学、分子科学与工程）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专科：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化学教育、综合理科教育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六、生物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本科一级学科：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生物科学类（生物科学、生物技术、生物信息学、生态学）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专科：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生物教育、综合理科教育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七、地理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本科一级学科：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地理科学类（地理科学、自然地理与资源环境、 人文地理与城乡规划、地理信息科学）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人文教育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专科：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地理教育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八、历史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本科一级学科：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历史学类（历史学、世界史、考古学、文物与博物馆学、文物保护技术、外国语言与外国历史）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人文教育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专科：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历史教育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 xml:space="preserve">九、思想政治(道德与法治) 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本科一级学科：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马克思主义理论类（科学社会主义、中国共产党历史、思想政治教育）；政治学类（政治学与行政学、国际政治、外交学、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国际事务与国际关系、030205T政治学、经济学与哲学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）</w:t>
      </w:r>
    </w:p>
    <w:p>
      <w:pPr>
        <w:spacing w:line="500" w:lineRule="exact"/>
        <w:ind w:firstLine="602" w:firstLineChars="200"/>
        <w:jc w:val="left"/>
        <w:rPr>
          <w:rFonts w:hint="eastAsia"/>
          <w:color w:val="00000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小学教育（限报小学道德与法治）</w:t>
      </w:r>
    </w:p>
    <w:p>
      <w:pPr>
        <w:spacing w:line="500" w:lineRule="exact"/>
        <w:ind w:firstLine="602" w:firstLineChars="20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专科：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 xml:space="preserve">思想政治教育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综合文科教育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十、音乐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本科一级学科：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音乐与舞蹈学类（音乐表演、音乐学、作曲与作曲技术理论、舞蹈表演、舞蹈学、舞蹈编导）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艺术教育、小学教育（限报小学音乐）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专科：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音乐教育、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舞蹈教育、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表演艺术、音乐表演、舞蹈表演、服装表演、影视表演、戏曲表演、编导、模特与礼仪、乐器维修技术、钢琴调律、杂技表演、乐器维护服务、钢琴伴奏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十一、体育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本科一级学科：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体育学类（体育教育、运动训练、社会体育指导与管理、武术与民族传统体育、运动人体科学、运动康复、休闲体育）</w:t>
      </w:r>
    </w:p>
    <w:p>
      <w:pPr>
        <w:spacing w:line="500" w:lineRule="exact"/>
        <w:ind w:firstLine="602" w:firstLineChars="200"/>
        <w:jc w:val="left"/>
        <w:rPr>
          <w:rFonts w:hint="eastAsia"/>
          <w:color w:val="00000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小学教育（限报小学体育）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专科：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体育教育、竞技体育、运动训练、社会体育、体育保健、体育服务与管理、武术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十二、美术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本科一级学科：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美术学类（美术学、绘画、雕塑、摄影、书法学、中国画）；设计学类（艺术设计学、视觉传达设计、环境设计、产品设计、服装与服饰设计、公共艺术、工艺美术、数字媒体艺术、艺术与科技）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艺术教育 小学教育（限报小学美术）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 w:cs="宋体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专科：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美术教育、书法教育、</w:t>
      </w:r>
      <w:r>
        <w:rPr>
          <w:rFonts w:hint="eastAsia" w:ascii="仿宋_GB2312" w:eastAsia="仿宋_GB2312"/>
          <w:color w:val="000000"/>
          <w:sz w:val="30"/>
          <w:szCs w:val="30"/>
        </w:rPr>
        <w:t>艺术设计、产品造型设计、视觉传达艺术设计、电脑艺术设计、人物形象设计、装潢艺术设计、装饰艺术设计、雕塑艺术设计、雕刻艺术与家具设计、旅游工艺品设计与制作、广告设计与制作、多媒体设计与制作、应用艺术设计、陶瓷艺术设计、广告与会展、美术、舞台艺术设计、书画鉴定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十三、信息技术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/>
          <w:b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本科一级学科：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计算机类（计算机科学与技术、软件工程、网络工程、信息安全、物联网工程、数字媒体技术、智能科学与技术、空间信息与数字技术、电子与计算机工程）</w:t>
      </w:r>
    </w:p>
    <w:p>
      <w:pPr>
        <w:spacing w:line="500" w:lineRule="exact"/>
        <w:ind w:firstLine="602" w:firstLineChars="200"/>
        <w:jc w:val="left"/>
        <w:rPr>
          <w:rFonts w:hint="eastAsia"/>
          <w:color w:val="00000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教育技术学</w:t>
      </w:r>
    </w:p>
    <w:p>
      <w:pPr>
        <w:spacing w:line="500" w:lineRule="exact"/>
        <w:ind w:firstLine="602" w:firstLineChars="200"/>
        <w:jc w:val="left"/>
        <w:rPr>
          <w:rFonts w:hint="eastAsia"/>
          <w:color w:val="00000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其他计算机本科专业：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教育信息技术、现代信息技术教育、出版与电脑编辑技术、互联网广告设计、电脑艺术设计、信息与计算科学、计算数学及其应用软件、信息科学、电子信息科学与技术、微电子学、信息安全、网络与信息安全、计算机应用及安全管理、计算机与自动检测、网络工程、自动化、电子信息工程、通信工程、计算机科学与技术、电子科学与技术、信息工程、软件工程、微电子技术、应用电子技术、计算机及应用、计算机软件、计算机科学教育、电子与信息技术、计算机通信、计算机应用技术、计算机应用与维护、办公自动化设备运行与维修、通信技术、电子技术及微机应用、微型计算机及应用、办公自动化技术、计算机与信息管理、计算机辅助机械设计、计算机与邮政通信、信息处理与自动化、电器与电脑、数控技术及应用、网络技术与信息处理、计算机网络与软件应用、电子工程、计算机制图、电脑图文处理与制版、广告电脑制作、计算机网络技术、多媒体与网络技术、信息与多媒体技术、信息及通信网络应用技术、计算机网络工程与管理、计算机美术设计、计算机图形图像处理、计算机组装与维修、工厂计算机集中控制、计算机辅助设计、计算机控制技术、机电设备及微机应用、计算机系统维护技术、计算机辅助制造工艺、微电子控制技术、数据库应用与信息管理、计算机辅助设计与制造、信息管理与信息系统、经济信息管理与计算机应用、企业信息计算机管理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 w:cs="Arial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专科：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计算机教育、现代教育技术</w:t>
      </w:r>
    </w:p>
    <w:p>
      <w:pPr>
        <w:spacing w:line="500" w:lineRule="exact"/>
        <w:ind w:firstLine="600" w:firstLineChars="200"/>
        <w:jc w:val="left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其他专科类：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交通安全与智能控制、数控技术、计算机辅助设计与制造、计算机控制技术、工业网络技术、数控设备应用与维护、计算机应用技术、计算机网络技术 、计算机多媒体技术、计算机系统维护 、计算机硬件与外设 、计算机信息管理、网络系统管理 、软件技术、图形图像制作 、动漫设计与制作、计算机网络与安全管理、网站规划与开发技术、游戏软件、数据通信与网络系统、航空计算机技术与应用、软件开发与项目管理、广告媒体开发、三维动画设计、计算机音乐制作、电子信息工程技术、应用电子技术 、信息安全技术、图文信息技术、微电子技术、通信技术、计算机通信、通信网络与设备 、现代教育技术、电脑艺术设计 、信息网络安全监察、司法信息技术 、司法信息安全、计算机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十四、科学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不限所学专业（需取得小学、初中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科学教师资格证；高中通用技术或综合实践活动教师资格证；物理、化学、生物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教师资格证书）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b/>
          <w:color w:val="000000"/>
          <w:sz w:val="30"/>
          <w:szCs w:val="30"/>
        </w:rPr>
        <w:t>本科一级学科：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物理学类专业 (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需取得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小学、初中科学教师资格证；高中通用技术或综合实践活动教师资格证；初中、高中物理教师资格证)</w:t>
      </w:r>
    </w:p>
    <w:p>
      <w:pPr>
        <w:spacing w:line="500" w:lineRule="exact"/>
        <w:ind w:firstLine="600" w:firstLineChars="200"/>
        <w:jc w:val="left"/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化学类专业 (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需取得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小学、初中科学教师资格证；高中通用技术或综合实践活动教师资格证；初中、高中化学教师资格证)</w:t>
      </w:r>
    </w:p>
    <w:p>
      <w:pPr>
        <w:spacing w:line="500" w:lineRule="exact"/>
        <w:ind w:firstLine="600" w:firstLineChars="200"/>
        <w:jc w:val="left"/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生物科学类专业 (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需取得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小学、初中科学教师资格证；高中通用技术或综合实践活动教师资格证；初中、高中生物教师资格证)。</w:t>
      </w:r>
    </w:p>
    <w:p>
      <w:pPr>
        <w:spacing w:line="500" w:lineRule="exact"/>
        <w:ind w:firstLine="602" w:firstLineChars="200"/>
        <w:jc w:val="left"/>
        <w:rPr>
          <w:rFonts w:hint="eastAsia"/>
          <w:color w:val="00000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本科二级学科：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科学教育(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需取得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小学、初中科学教师资格证、高中通用技术或综合实践活动教师资格证)、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小学教育（限报小学科学）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b/>
          <w:color w:val="000000"/>
          <w:sz w:val="30"/>
          <w:szCs w:val="30"/>
        </w:rPr>
        <w:t>专科：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科学教育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(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需取得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小学、初中科学教师资格证；初中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物理、化学、生物教师资格证)、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物理教育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（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需取得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小学、初中科学教师资格证；初中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物理教师资格证）、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化学教育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（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需取得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小学、初中科学教师资格证；初中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化学教师资格证）、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生物教育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（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需取得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小学、初中科学教师资格证；初中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生物教师资格证）、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综合理科教育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（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需取得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小学、初中科学教师资格证；初中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物理、化学、生物教师资格证）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sz w:val="30"/>
          <w:szCs w:val="30"/>
        </w:rPr>
        <w:t>十五、心理健康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不限所学专业。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黑体" w:eastAsia="仿宋_GB2312" w:cs="宋体"/>
          <w:b/>
          <w:color w:val="000000"/>
          <w:sz w:val="30"/>
          <w:szCs w:val="30"/>
        </w:rPr>
        <w:t>本科</w:t>
      </w:r>
      <w:r>
        <w:rPr>
          <w:rFonts w:hint="eastAsia" w:ascii="仿宋_GB2312" w:hAnsi="黑体" w:eastAsia="仿宋_GB2312" w:cs="宋体"/>
          <w:color w:val="000000"/>
          <w:sz w:val="30"/>
          <w:szCs w:val="30"/>
        </w:rPr>
        <w:t>一级学科：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心理学类（心理学、应用心理学）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专科：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应用心理学、心理咨询</w:t>
      </w:r>
    </w:p>
    <w:p>
      <w:pPr>
        <w:spacing w:line="500" w:lineRule="exact"/>
        <w:ind w:firstLine="600" w:firstLineChars="200"/>
        <w:jc w:val="left"/>
        <w:rPr>
          <w:rFonts w:hint="eastAsia" w:ascii="黑体" w:hAnsi="黑体" w:eastAsia="黑体" w:cs="宋体"/>
          <w:color w:val="00000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sz w:val="30"/>
          <w:szCs w:val="30"/>
        </w:rPr>
        <w:t>十六、幼儿园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不限所学专业。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黑体" w:eastAsia="仿宋_GB2312" w:cs="宋体"/>
          <w:b/>
          <w:sz w:val="30"/>
          <w:szCs w:val="30"/>
        </w:rPr>
        <w:t>本科：</w:t>
      </w:r>
      <w:r>
        <w:rPr>
          <w:rFonts w:hint="eastAsia" w:ascii="仿宋_GB2312" w:hAnsi="黑体" w:eastAsia="仿宋_GB2312" w:cs="宋体"/>
          <w:sz w:val="30"/>
          <w:szCs w:val="30"/>
        </w:rPr>
        <w:t>二级学科</w:t>
      </w:r>
      <w:r>
        <w:rPr>
          <w:rFonts w:hint="eastAsia" w:ascii="仿宋_GB2312" w:hAnsi="宋体" w:eastAsia="仿宋_GB2312" w:cs="宋体"/>
          <w:sz w:val="30"/>
          <w:szCs w:val="30"/>
        </w:rPr>
        <w:t>学前教育、学前教育(职教师资方向、需具备中职学前教育教师资格或幼儿教师资格)、音乐学(学前教育师资方向、需具备幼儿教师资格)、</w:t>
      </w:r>
      <w:r>
        <w:rPr>
          <w:rFonts w:hint="eastAsia" w:ascii="仿宋_GB2312" w:hAnsi="黑体" w:eastAsia="仿宋_GB2312"/>
          <w:sz w:val="30"/>
          <w:szCs w:val="30"/>
        </w:rPr>
        <w:t>舞蹈学</w:t>
      </w:r>
      <w:r>
        <w:rPr>
          <w:rFonts w:hint="eastAsia" w:ascii="仿宋_GB2312" w:hAnsi="宋体" w:eastAsia="仿宋_GB2312" w:cs="宋体"/>
          <w:sz w:val="30"/>
          <w:szCs w:val="30"/>
        </w:rPr>
        <w:t>(学前教育师资方向、需具备幼儿教师资格)。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专科：</w:t>
      </w:r>
      <w:r>
        <w:rPr>
          <w:rFonts w:hint="eastAsia" w:ascii="仿宋_GB2312" w:hAnsi="黑体" w:eastAsia="仿宋_GB2312"/>
          <w:sz w:val="30"/>
          <w:szCs w:val="30"/>
        </w:rPr>
        <w:t>学前教育。</w:t>
      </w:r>
    </w:p>
    <w:p>
      <w:pPr>
        <w:spacing w:line="500" w:lineRule="exact"/>
        <w:ind w:firstLine="602" w:firstLineChars="200"/>
        <w:jc w:val="left"/>
        <w:rPr>
          <w:rFonts w:hint="eastAsia" w:ascii="仿宋_GB2312" w:hAnsi="黑体" w:eastAsia="仿宋_GB2312" w:cs="宋体"/>
          <w:b/>
          <w:color w:val="000000"/>
          <w:sz w:val="30"/>
          <w:szCs w:val="30"/>
        </w:rPr>
      </w:pPr>
      <w:r>
        <w:rPr>
          <w:rFonts w:hint="eastAsia" w:ascii="仿宋_GB2312" w:hAnsi="黑体" w:eastAsia="仿宋_GB2312" w:cs="宋体"/>
          <w:b/>
          <w:color w:val="000000"/>
          <w:sz w:val="30"/>
          <w:szCs w:val="30"/>
        </w:rPr>
        <w:t>特别说明：</w:t>
      </w:r>
    </w:p>
    <w:p>
      <w:pPr>
        <w:spacing w:line="500" w:lineRule="exact"/>
        <w:ind w:firstLine="600" w:firstLineChars="200"/>
        <w:jc w:val="left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1.报考相应学科的特教师，应当在规定期限内取得相应学科教师资格证；</w:t>
      </w:r>
    </w:p>
    <w:p>
      <w:pPr>
        <w:spacing w:line="500" w:lineRule="exact"/>
        <w:ind w:firstLine="600" w:firstLineChars="200"/>
        <w:jc w:val="left"/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2.如果对专业存在争议，以教育部“学信网”查询的考生当年高考录取专业名称为准；</w:t>
      </w:r>
    </w:p>
    <w:p>
      <w:pPr>
        <w:spacing w:line="500" w:lineRule="exact"/>
        <w:ind w:firstLine="600" w:firstLineChars="200"/>
        <w:jc w:val="left"/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3.XX专业(XX师资方向、XX教育方向、XX教育、XX方向)，如果(XX师资方向、XX教育方向、XX教育、XX方向)与所报考学科一致，可以报考；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4</w:t>
      </w:r>
      <w:r>
        <w:rPr>
          <w:rFonts w:hint="eastAsia" w:ascii="仿宋_GB2312" w:eastAsia="仿宋_GB2312" w:cs="宋体"/>
          <w:color w:val="000000"/>
          <w:sz w:val="30"/>
          <w:szCs w:val="30"/>
        </w:rPr>
        <w:t>.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 xml:space="preserve"> 教育部2012版本科专业目录新旧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对照表中</w:t>
      </w:r>
      <w:r>
        <w:rPr>
          <w:rFonts w:hint="eastAsia" w:ascii="仿宋_GB2312" w:eastAsia="仿宋_GB2312"/>
          <w:color w:val="000000"/>
          <w:sz w:val="30"/>
          <w:szCs w:val="30"/>
        </w:rPr>
        <w:t>新二级学科专业包含的原二级学科专业，按新二级学科专业对待。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FA017C"/>
    <w:rsid w:val="3862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你是我全部的信仰♥</dc:creator>
  <cp:lastModifiedBy>郭佳玉</cp:lastModifiedBy>
  <dcterms:modified xsi:type="dcterms:W3CDTF">2020-06-24T08:59:33Z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