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458FCE" w:sz="12" w:space="15"/>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Theme="minorEastAsia" w:hAnsiTheme="minorEastAsia" w:eastAsiaTheme="minorEastAsia" w:cstheme="minorEastAsia"/>
          <w:sz w:val="28"/>
          <w:szCs w:val="28"/>
          <w:lang w:val="en-US" w:eastAsia="zh-CN"/>
        </w:rPr>
      </w:pPr>
      <w:bookmarkStart w:id="0" w:name="_GoBack"/>
      <w:r>
        <w:rPr>
          <w:rFonts w:hint="eastAsia" w:asciiTheme="minorEastAsia" w:hAnsiTheme="minorEastAsia" w:eastAsiaTheme="minorEastAsia" w:cstheme="minorEastAsia"/>
          <w:sz w:val="28"/>
          <w:szCs w:val="28"/>
          <w:lang w:eastAsia="zh-CN"/>
        </w:rPr>
        <w:t>附件</w:t>
      </w:r>
      <w:r>
        <w:rPr>
          <w:rFonts w:hint="eastAsia" w:asciiTheme="minorEastAsia" w:hAnsiTheme="minorEastAsia" w:eastAsiaTheme="minorEastAsia" w:cstheme="minorEastAsia"/>
          <w:sz w:val="28"/>
          <w:szCs w:val="28"/>
          <w:lang w:val="en-US" w:eastAsia="zh-CN"/>
        </w:rPr>
        <w:t>4</w:t>
      </w:r>
    </w:p>
    <w:bookmarkEnd w:id="0"/>
    <w:p>
      <w:pPr>
        <w:pStyle w:val="2"/>
        <w:keepNext w:val="0"/>
        <w:keepLines w:val="0"/>
        <w:widowControl/>
        <w:suppressLineNumbers w:val="0"/>
        <w:pBdr>
          <w:top w:val="single" w:color="458FCE" w:sz="12" w:space="15"/>
          <w:left w:val="none" w:color="auto" w:sz="0" w:space="0"/>
          <w:bottom w:val="none" w:color="auto" w:sz="0" w:space="0"/>
          <w:right w:val="none" w:color="auto" w:sz="0" w:space="0"/>
        </w:pBdr>
        <w:spacing w:before="0" w:beforeAutospacing="0" w:after="0" w:afterAutospacing="0" w:line="23" w:lineRule="atLeast"/>
        <w:ind w:left="0" w:right="0"/>
        <w:jc w:val="center"/>
        <w:rPr>
          <w:rFonts w:ascii="微软雅黑" w:hAnsi="微软雅黑" w:eastAsia="微软雅黑" w:cs="微软雅黑"/>
          <w:sz w:val="39"/>
          <w:szCs w:val="39"/>
        </w:rPr>
      </w:pPr>
      <w:r>
        <w:rPr>
          <w:rFonts w:hint="eastAsia" w:ascii="微软雅黑" w:hAnsi="微软雅黑" w:eastAsia="微软雅黑" w:cs="微软雅黑"/>
          <w:sz w:val="39"/>
          <w:szCs w:val="39"/>
        </w:rPr>
        <w:t>贵州省202</w:t>
      </w:r>
      <w:r>
        <w:rPr>
          <w:rFonts w:hint="eastAsia" w:ascii="微软雅黑" w:hAnsi="微软雅黑" w:eastAsia="微软雅黑" w:cs="微软雅黑"/>
          <w:sz w:val="39"/>
          <w:szCs w:val="39"/>
          <w:lang w:val="en-US" w:eastAsia="zh-CN"/>
        </w:rPr>
        <w:t>1</w:t>
      </w:r>
      <w:r>
        <w:rPr>
          <w:rFonts w:hint="eastAsia" w:ascii="微软雅黑" w:hAnsi="微软雅黑" w:eastAsia="微软雅黑" w:cs="微软雅黑"/>
          <w:sz w:val="39"/>
          <w:szCs w:val="39"/>
        </w:rPr>
        <w:t>年人事考试新冠肺炎疫情防控要求</w:t>
      </w:r>
    </w:p>
    <w:p>
      <w:pPr>
        <w:keepNext w:val="0"/>
        <w:keepLines w:val="0"/>
        <w:widowControl/>
        <w:suppressLineNumbers w:val="0"/>
        <w:pBdr>
          <w:top w:val="none" w:color="auto" w:sz="0" w:space="0"/>
          <w:left w:val="none" w:color="auto" w:sz="0" w:space="0"/>
          <w:bottom w:val="dotted" w:color="458FCE" w:sz="6" w:space="15"/>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凡报名参加贵州省202</w:t>
      </w:r>
      <w:r>
        <w:rPr>
          <w:rFonts w:hint="eastAsia"/>
          <w:sz w:val="21"/>
          <w:szCs w:val="21"/>
          <w:lang w:val="en-US" w:eastAsia="zh-CN"/>
        </w:rPr>
        <w:t>1</w:t>
      </w:r>
      <w:r>
        <w:rPr>
          <w:sz w:val="21"/>
          <w:szCs w:val="21"/>
        </w:rPr>
        <w:t>年人事考试的考生，须严格遵守《贵州省202</w:t>
      </w:r>
      <w:r>
        <w:rPr>
          <w:rFonts w:hint="eastAsia"/>
          <w:sz w:val="21"/>
          <w:szCs w:val="21"/>
          <w:lang w:val="en-US" w:eastAsia="zh-CN"/>
        </w:rPr>
        <w:t>1</w:t>
      </w:r>
      <w:r>
        <w:rPr>
          <w:sz w:val="21"/>
          <w:szCs w:val="21"/>
        </w:rPr>
        <w:t>年人事考试新冠肺炎疫情防控要求》。考生报名考试时应仔细阅读招聘方案、报考指南、考务通知、防控要求、温馨提示等内容，并在网上报名时在报名系统中签署《贵州省202</w:t>
      </w:r>
      <w:r>
        <w:rPr>
          <w:rFonts w:hint="eastAsia"/>
          <w:sz w:val="21"/>
          <w:szCs w:val="21"/>
          <w:lang w:val="en-US" w:eastAsia="zh-CN"/>
        </w:rPr>
        <w:t>1</w:t>
      </w:r>
      <w:r>
        <w:rPr>
          <w:sz w:val="21"/>
          <w:szCs w:val="21"/>
        </w:rPr>
        <w:t>年人事考试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一、考生入场检测规定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考生须佩戴一次性使用医用口罩持考试当天的本人“贵州健康码”绿码并经工作人员检测体温正常可以参加考试。考生入场检测时和进入考点后，均须保持安全距离，不得扎堆聚集。入场检测具体规定如下：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（一）“贵州健康码”为绿码且体温正常（低于37.3℃）的考生可以参加考试。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二）体温≥37.3℃的考生，须立即安排进入临时隔离检查点，间隔15分钟后，由现场医务人员使用水银体温计进行体温复测，经复测体温正常（低于37.3℃）的，可以参加考试。经复测体温仍≥37.3℃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（三）未佩戴一次性使用医用口罩的考生不得进入考点参加考试。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二、疫情防控重要提示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（一）根据贵州省最新疫情防控要求，对本次考试考生的防疫要求如下：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1.14天内境外来黔人员、仍处于康复或隔离期的病例、无症状感染者、疑似、确诊病例以及无症状感染者的密切接触者不得进入考点参加考试。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2.14天内有中高风险地区旅居史的人员，到达考点所在地区时持有7日内核酸检测阴性证明或能够出示包含核酸检测阴性信息的健康通行码“绿码”，在测温正常且做好个人防护的前提下可以参加考试。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3.14天内有发热，咳嗽等症状的人员，须持核酸检测阴性证明，发热、咳嗽等症状已经消失且考试当天贵州健康码为绿码、入场体温检测正常（低于37.3℃）可以参加考试。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4.低风险地区来黔人员，考试当天贵州健康码为绿码且入场体温检测正常（低于37.3℃）可以参加考试。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5.为避免考生到达我省后14天内所旅居地区调整为中高风险等级，建议考生到达考点所在地区前,在当地进行核酸检测。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（二）考试当天，经现场医务人员评估有可疑症状的考生，应配合工作人员按卫生健康部门要求到相应医院就诊，不得进入考点参加考试。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（三）考生应自行携带一次性使用医用口罩，除核验身份时，考试期间须全程佩戴，做好个人防护。未按要求佩戴口罩的考生，不得进入考点考场。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四）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五）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六）多科目考试的，上午考试科目结束后，外出重新进入考点人员，须佩戴一次性使用医用口罩再次接受体温检测和扫码检查，请考生及时用餐（建议自带餐食），按时返回考点接受检测入场，避免耽误时间影响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（七）每科目考试结束，考生要按指令有序离场，不得拥挤扎堆，保持适当安全距离。废弃口罩应自行带走或放到指定垃圾桶，不得随意丢弃。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（八）考生须严格遵守贵州省新冠肺炎疫情防控等相关要求。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（九）贵州健康码使用咨询电话：9610096（省外需拨打0851-9610096）。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r>
        <w:rPr>
          <w:sz w:val="21"/>
          <w:szCs w:val="21"/>
        </w:rPr>
        <w:t>  （十）若国家、省关于疫情防控的要求发生变化，将根据新要求另行发布补充通知。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C6843"/>
    <w:rsid w:val="3783146E"/>
    <w:rsid w:val="492C6843"/>
    <w:rsid w:val="538428E4"/>
    <w:rsid w:val="64971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2021-03-23T02:20:00Z</dcterms:created>
  <dc:creator>wjw</dc:creator>
  <cp:lastModifiedBy>wjw</cp:lastModifiedBy>
  <cp:lastPrinted>2021-03-23T08:37:37Z</cp:lastPrinted>
  <dcterms:modified xsi:type="dcterms:W3CDTF">2021-03-23T09:08:58Z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