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both"/>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p>
    <w:p>
      <w:pPr>
        <w:widowControl/>
        <w:autoSpaceDE w:val="0"/>
        <w:spacing w:line="520" w:lineRule="exact"/>
        <w:rPr>
          <w:rFonts w:ascii="仿宋" w:hAnsi="仿宋" w:eastAsia="方正小标宋简体"/>
          <w:color w:val="000000"/>
          <w:kern w:val="0"/>
          <w:sz w:val="44"/>
          <w:szCs w:val="32"/>
        </w:rPr>
      </w:pPr>
      <w:r>
        <w:rPr>
          <w:rFonts w:hint="eastAsia" w:ascii="仿宋" w:hAnsi="仿宋" w:eastAsia="方正小标宋简体"/>
          <w:color w:val="000000"/>
          <w:kern w:val="0"/>
          <w:sz w:val="32"/>
          <w:szCs w:val="32"/>
        </w:rPr>
        <w:t>附件</w:t>
      </w:r>
      <w:r>
        <w:rPr>
          <w:rFonts w:hint="eastAsia" w:ascii="仿宋" w:hAnsi="仿宋" w:eastAsia="方正小标宋简体"/>
          <w:color w:val="000000"/>
          <w:kern w:val="0"/>
          <w:sz w:val="32"/>
          <w:szCs w:val="32"/>
          <w:lang w:val="en-US" w:eastAsia="zh-CN"/>
        </w:rPr>
        <w:t>3</w:t>
      </w:r>
    </w:p>
    <w:p>
      <w:pPr>
        <w:widowControl/>
        <w:autoSpaceDE w:val="0"/>
        <w:spacing w:line="520" w:lineRule="exact"/>
        <w:jc w:val="center"/>
        <w:rPr>
          <w:rFonts w:ascii="仿宋" w:hAnsi="仿宋" w:eastAsia="方正小标宋简体"/>
          <w:color w:val="000000"/>
          <w:kern w:val="0"/>
          <w:sz w:val="44"/>
          <w:szCs w:val="32"/>
        </w:rPr>
      </w:pPr>
    </w:p>
    <w:p>
      <w:pPr>
        <w:widowControl/>
        <w:autoSpaceDE w:val="0"/>
        <w:spacing w:line="520" w:lineRule="exact"/>
        <w:jc w:val="center"/>
        <w:rPr>
          <w:rFonts w:ascii="仿宋" w:hAnsi="仿宋" w:eastAsia="方正小标宋简体"/>
          <w:color w:val="000000"/>
          <w:kern w:val="0"/>
          <w:sz w:val="44"/>
          <w:szCs w:val="32"/>
        </w:rPr>
      </w:pPr>
      <w:bookmarkStart w:id="0" w:name="_GoBack"/>
      <w:r>
        <w:rPr>
          <w:rFonts w:hint="eastAsia" w:ascii="方正小标宋简体" w:hAnsi="方正小标宋简体" w:eastAsia="方正小标宋简体" w:cs="方正小标宋简体"/>
          <w:w w:val="98"/>
          <w:sz w:val="44"/>
          <w:szCs w:val="44"/>
        </w:rPr>
        <w:t>第九届贵州人才博览会</w:t>
      </w:r>
      <w:r>
        <w:rPr>
          <w:rFonts w:hint="eastAsia" w:ascii="仿宋" w:hAnsi="仿宋" w:eastAsia="方正小标宋简体"/>
          <w:color w:val="000000"/>
          <w:kern w:val="0"/>
          <w:sz w:val="44"/>
          <w:szCs w:val="32"/>
        </w:rPr>
        <w:t>黔西南州发展和改革委员会</w:t>
      </w:r>
      <w:r>
        <w:rPr>
          <w:rFonts w:hint="eastAsia" w:ascii="方正小标宋简体" w:hAnsi="方正小标宋简体" w:eastAsia="方正小标宋简体" w:cs="方正小标宋简体"/>
          <w:sz w:val="44"/>
          <w:szCs w:val="44"/>
        </w:rPr>
        <w:t>引进高层次人才疫情</w:t>
      </w:r>
      <w:r>
        <w:rPr>
          <w:rFonts w:hint="eastAsia" w:ascii="方正小标宋简体" w:eastAsia="方正小标宋简体"/>
          <w:color w:val="231F20"/>
          <w:kern w:val="0"/>
          <w:sz w:val="44"/>
          <w:szCs w:val="44"/>
        </w:rPr>
        <w:t>防控工作</w:t>
      </w:r>
      <w:r>
        <w:rPr>
          <w:rFonts w:hint="eastAsia" w:ascii="仿宋" w:hAnsi="仿宋" w:eastAsia="方正小标宋简体"/>
          <w:color w:val="000000"/>
          <w:kern w:val="0"/>
          <w:sz w:val="44"/>
          <w:szCs w:val="32"/>
        </w:rPr>
        <w:t>方案</w:t>
      </w:r>
    </w:p>
    <w:bookmarkEnd w:id="0"/>
    <w:p>
      <w:pPr>
        <w:pStyle w:val="2"/>
        <w:spacing w:before="0" w:after="0" w:line="520" w:lineRule="exact"/>
      </w:pPr>
    </w:p>
    <w:p>
      <w:pPr>
        <w:spacing w:line="620" w:lineRule="exact"/>
        <w:ind w:firstLine="640" w:firstLineChars="200"/>
        <w:jc w:val="left"/>
        <w:rPr>
          <w:rFonts w:ascii="仿宋_GB2312" w:hAnsi="仿宋_GB2312" w:eastAsia="仿宋"/>
          <w:sz w:val="32"/>
        </w:rPr>
      </w:pPr>
      <w:r>
        <w:rPr>
          <w:rFonts w:hint="eastAsia" w:ascii="仿宋_GB2312" w:hAnsi="仿宋_GB2312" w:eastAsia="仿宋"/>
          <w:sz w:val="32"/>
        </w:rPr>
        <w:t>为确保</w:t>
      </w:r>
      <w:r>
        <w:rPr>
          <w:rFonts w:hint="eastAsia" w:ascii="仿宋" w:hAnsi="仿宋" w:eastAsia="仿宋" w:cs="仿宋"/>
          <w:sz w:val="32"/>
          <w:szCs w:val="32"/>
        </w:rPr>
        <w:t>引进高层次人才</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rPr>
        <w:t>公开人才引进</w:t>
      </w:r>
      <w:r>
        <w:rPr>
          <w:rFonts w:ascii="仿宋_GB2312" w:hAnsi="仿宋_GB2312" w:eastAsia="仿宋"/>
          <w:sz w:val="32"/>
        </w:rPr>
        <w:t>期间新冠肺炎疫情防控工作，有效防范疫情传播，特制订本工作方案。</w:t>
      </w:r>
    </w:p>
    <w:p>
      <w:pPr>
        <w:spacing w:line="620" w:lineRule="exact"/>
        <w:ind w:firstLine="640" w:firstLineChars="200"/>
        <w:jc w:val="left"/>
        <w:rPr>
          <w:rFonts w:eastAsia="黑体"/>
          <w:sz w:val="32"/>
        </w:rPr>
      </w:pPr>
      <w:r>
        <w:rPr>
          <w:rFonts w:hint="eastAsia" w:eastAsia="黑体"/>
          <w:sz w:val="32"/>
        </w:rPr>
        <w:t>一、组织保障</w:t>
      </w:r>
    </w:p>
    <w:p>
      <w:pPr>
        <w:spacing w:line="620" w:lineRule="exact"/>
        <w:ind w:firstLine="640" w:firstLineChars="200"/>
        <w:jc w:val="left"/>
        <w:rPr>
          <w:rFonts w:ascii="仿宋_GB2312" w:hAnsi="仿宋_GB2312" w:eastAsia="仿宋_GB2312" w:cs="仿宋_GB2312"/>
          <w:kern w:val="0"/>
          <w:sz w:val="32"/>
        </w:rPr>
      </w:pPr>
      <w:r>
        <w:rPr>
          <w:rFonts w:hint="eastAsia" w:ascii="仿宋_GB2312" w:hAnsi="仿宋_GB2312" w:eastAsia="仿宋_GB2312" w:cs="仿宋_GB2312"/>
          <w:sz w:val="32"/>
        </w:rPr>
        <w:t>本次引进高层次人才</w:t>
      </w:r>
      <w:r>
        <w:rPr>
          <w:rFonts w:hint="eastAsia" w:ascii="仿宋_GB2312" w:hAnsi="仿宋_GB2312" w:eastAsia="仿宋_GB2312" w:cs="仿宋_GB2312"/>
          <w:color w:val="231F20"/>
          <w:kern w:val="0"/>
          <w:sz w:val="32"/>
          <w:szCs w:val="44"/>
        </w:rPr>
        <w:t>疫情防控工作，在黔西南州发展和改革委员会</w:t>
      </w:r>
      <w:r>
        <w:rPr>
          <w:rFonts w:hint="eastAsia" w:ascii="仿宋_GB2312" w:hAnsi="仿宋_GB2312" w:eastAsia="仿宋_GB2312" w:cs="仿宋_GB2312"/>
          <w:sz w:val="32"/>
        </w:rPr>
        <w:t>新冠肺炎疫情防控工作领导小组统一领导下进行，成立由党组书记、主任为组长，党组成员、副主任为副组长，处副处以上领导干部及委办公室、人事科、综合科、建设项目管理科、财务科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autoSpaceDE w:val="0"/>
        <w:spacing w:line="620" w:lineRule="exact"/>
        <w:ind w:firstLine="640" w:firstLineChars="200"/>
        <w:jc w:val="left"/>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（三）设立考场，按照考生人数设立面试考场、候考室。</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做好考场、候考室、公共卫生间等公用设备设施和门把手等高频接触物体表面的清洁消毒。</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autoSpaceDE w:val="0"/>
        <w:spacing w:line="62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autoSpaceDE w:val="0"/>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考生网上报名资格审核通过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（二）面试阶段</w:t>
      </w:r>
    </w:p>
    <w:p>
      <w:pPr>
        <w:widowControl/>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1、面试考官以及工作人员，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参加面试的考生要求。14天内有港台地区、国外旅居史人员不能参加面试；新冠肺炎确诊病例、无症状感染者和密切接触者不能参加面试。14天内有中高风险地区、省外旅居史的考生，持有7天内新冠核酸检测阴性证明的可以参加面试。无核酸检测证明的，需提前进行核酸检测，阴性者方可参加面试。14天内无中高风险地区、省外旅居史的考生，</w:t>
      </w:r>
      <w:r>
        <w:rPr>
          <w:rFonts w:hint="eastAsia" w:ascii="仿宋_GB2312" w:hAnsi="仿宋_GB2312" w:eastAsia="仿宋_GB2312" w:cs="仿宋_GB2312"/>
          <w:kern w:val="0"/>
          <w:sz w:val="32"/>
          <w:szCs w:val="32"/>
        </w:rPr>
        <w:t>需在微信小程序中下载贵州健康码，并确认健康码为绿色，体温测量正常，方可进入候考室和考场。</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3、做好健康监测。所有参加面试的考生自接到面试通知开始，要开展每日体温测量及发热、乏力、咳嗽、腹泻、呕吐、嗅觉或味觉减退等症状监测。如有出现体温大于37.</w:t>
      </w:r>
      <w:r>
        <w:rPr>
          <w:rFonts w:hint="eastAsia" w:ascii="仿宋_GB2312" w:hAnsi="仿宋_GB2312" w:eastAsia="仿宋_GB2312" w:cs="仿宋_GB2312"/>
          <w:sz w:val="32"/>
          <w:szCs w:val="32"/>
        </w:rPr>
        <w:t>3°C、咳嗽等异常情况，要及时报告州发展改革委。</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4、严格落实扫码、测温的进场管控措施，设置临时隔离点，体温超过37.</w:t>
      </w:r>
      <w:r>
        <w:rPr>
          <w:rFonts w:hint="eastAsia" w:ascii="仿宋_GB2312" w:hAnsi="仿宋_GB2312" w:eastAsia="仿宋_GB2312" w:cs="仿宋_GB2312"/>
          <w:sz w:val="32"/>
          <w:szCs w:val="32"/>
        </w:rPr>
        <w:t>3°C的，由考务人员引导至临时隔离点排查处置，如不能现场排除新冠肺炎疫情感染风险，需立即送到附件定点发热门诊就诊排查。</w:t>
      </w:r>
      <w:r>
        <w:rPr>
          <w:rFonts w:hint="eastAsia" w:ascii="仿宋_GB2312" w:hAnsi="仿宋_GB2312" w:eastAsia="仿宋_GB2312" w:cs="仿宋_GB2312"/>
          <w:kern w:val="0"/>
          <w:sz w:val="32"/>
          <w:szCs w:val="32"/>
        </w:rPr>
        <w:t>考试结束立即离开考场，严谨在考场逗留聚集。</w:t>
      </w:r>
    </w:p>
    <w:p>
      <w:pPr>
        <w:widowControl/>
        <w:autoSpaceDE w:val="0"/>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面试结束后，考生或工作人员14天内若出现发热（≥37.3°C）、干咳、乏力、鼻塞、流涕、咽痛、腹泻等症状时，或发生确诊、疑似病例接触史，应立即按照防控要求及时就医，并如实将相关信息告知用人单位。</w:t>
      </w:r>
    </w:p>
    <w:p>
      <w:pPr>
        <w:autoSpaceDE w:val="0"/>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1、考生收到的体检通知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2、考生参加体检前，要提供核酸检测结果报告单，如实报告前14天内是否出现发热（≥37.3°C）、干咳、乏力、鼻塞、流涕、咽痛、腹泻等症状，或有境外及疫情中高风险省份或区域的旅居史。</w:t>
      </w:r>
    </w:p>
    <w:p>
      <w:pPr>
        <w:widowControl/>
        <w:autoSpaceDE w:val="0"/>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pStyle w:val="2"/>
        <w:spacing w:before="0" w:after="0" w:line="620" w:lineRule="exact"/>
        <w:ind w:firstLine="640" w:firstLineChars="200"/>
        <w:jc w:val="left"/>
        <w:rPr>
          <w:rFonts w:ascii="仿宋_GB2312" w:hAnsi="仿宋_GB2312" w:eastAsia="仿宋_GB2312" w:cs="仿宋_GB2312"/>
          <w:color w:val="231F20"/>
          <w:kern w:val="0"/>
          <w:sz w:val="32"/>
          <w:szCs w:val="44"/>
        </w:rPr>
      </w:pPr>
      <w:r>
        <w:rPr>
          <w:rFonts w:hint="eastAsia" w:ascii="仿宋_GB2312" w:hAnsi="仿宋_GB2312" w:eastAsia="仿宋_GB2312" w:cs="仿宋_GB2312"/>
          <w:color w:val="231F20"/>
          <w:kern w:val="0"/>
          <w:sz w:val="32"/>
          <w:szCs w:val="44"/>
        </w:rPr>
        <w:t xml:space="preserve">  </w:t>
      </w:r>
    </w:p>
    <w:p>
      <w:pPr>
        <w:pStyle w:val="2"/>
        <w:spacing w:before="0" w:after="0" w:line="620" w:lineRule="exact"/>
        <w:ind w:firstLine="640" w:firstLineChars="200"/>
        <w:jc w:val="right"/>
        <w:rPr>
          <w:rFonts w:ascii="仿宋_GB2312" w:hAnsi="仿宋_GB2312" w:eastAsia="仿宋_GB2312" w:cs="仿宋_GB2312"/>
          <w:color w:val="231F20"/>
          <w:kern w:val="0"/>
          <w:sz w:val="32"/>
          <w:szCs w:val="44"/>
        </w:rPr>
      </w:pPr>
      <w:r>
        <w:rPr>
          <w:rFonts w:hint="eastAsia" w:ascii="仿宋_GB2312" w:hAnsi="仿宋_GB2312" w:eastAsia="仿宋_GB2312" w:cs="仿宋_GB2312"/>
          <w:color w:val="231F20"/>
          <w:kern w:val="0"/>
          <w:sz w:val="32"/>
          <w:szCs w:val="44"/>
        </w:rPr>
        <w:t>黔西南州发展和改革委员会</w:t>
      </w:r>
    </w:p>
    <w:p>
      <w:pPr>
        <w:pStyle w:val="2"/>
        <w:spacing w:before="0" w:after="0" w:line="620" w:lineRule="exact"/>
        <w:ind w:firstLine="640" w:firstLineChars="200"/>
        <w:jc w:val="right"/>
        <w:rPr>
          <w:rFonts w:ascii="仿宋_GB2312" w:hAnsi="仿宋_GB2312" w:eastAsia="仿宋_GB2312" w:cs="仿宋_GB2312"/>
          <w:sz w:val="32"/>
        </w:rPr>
      </w:pPr>
      <w:r>
        <w:rPr>
          <w:rFonts w:hint="eastAsia" w:ascii="仿宋_GB2312" w:hAnsi="仿宋_GB2312" w:eastAsia="仿宋_GB2312" w:cs="仿宋_GB2312"/>
          <w:color w:val="231F20"/>
          <w:kern w:val="0"/>
          <w:sz w:val="32"/>
          <w:szCs w:val="44"/>
        </w:rPr>
        <w:t xml:space="preserve"> 引进高层次人才</w:t>
      </w:r>
      <w:r>
        <w:rPr>
          <w:rFonts w:hint="eastAsia" w:ascii="仿宋_GB2312" w:hAnsi="仿宋_GB2312" w:eastAsia="仿宋_GB2312" w:cs="仿宋_GB2312"/>
          <w:sz w:val="32"/>
        </w:rPr>
        <w:t>工作领导小组</w:t>
      </w:r>
    </w:p>
    <w:p>
      <w:pPr>
        <w:pStyle w:val="2"/>
        <w:spacing w:before="0" w:after="0" w:line="620" w:lineRule="exact"/>
        <w:ind w:firstLine="640" w:firstLineChars="200"/>
        <w:jc w:val="center"/>
        <w:rPr>
          <w:rFonts w:ascii="仿宋_GB2312" w:hAnsi="仿宋_GB2312" w:eastAsia="仿宋_GB2312" w:cs="仿宋_GB2312"/>
          <w:sz w:val="32"/>
        </w:rPr>
      </w:pPr>
      <w:r>
        <w:rPr>
          <w:rFonts w:hint="eastAsia" w:ascii="仿宋_GB2312" w:hAnsi="仿宋_GB2312" w:eastAsia="仿宋_GB2312" w:cs="仿宋_GB2312"/>
          <w:sz w:val="32"/>
        </w:rPr>
        <w:t xml:space="preserve">                     2021年6月2日</w:t>
      </w:r>
    </w:p>
    <w:p>
      <w:pPr>
        <w:spacing w:line="620" w:lineRule="exact"/>
        <w:ind w:firstLine="420" w:firstLineChars="200"/>
        <w:jc w:val="left"/>
        <w:rPr>
          <w:rFonts w:ascii="仿宋_GB2312" w:hAnsi="仿宋_GB2312" w:eastAsia="仿宋_GB2312" w:cs="仿宋_GB2312"/>
        </w:rPr>
      </w:pPr>
    </w:p>
    <w:p>
      <w:pPr>
        <w:spacing w:line="560" w:lineRule="exact"/>
        <w:ind w:firstLine="640" w:firstLineChars="200"/>
        <w:jc w:val="center"/>
        <w:rPr>
          <w:rFonts w:ascii="仿宋_GB2312" w:hAnsi="仿宋_GB2312" w:eastAsia="仿宋_GB2312" w:cs="仿宋_GB2312"/>
          <w:sz w:val="32"/>
          <w:szCs w:val="32"/>
        </w:rPr>
      </w:pP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Helvetica">
    <w:altName w:val="Arial"/>
    <w:panose1 w:val="020B0604020202020204"/>
    <w:charset w:val="00"/>
    <w:family w:val="modern"/>
    <w:pitch w:val="default"/>
    <w:sig w:usb0="00000000" w:usb1="00000000" w:usb2="00000000" w:usb3="00000000" w:csb0="00000001"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Helvetica">
    <w:altName w:val="Arial"/>
    <w:panose1 w:val="020B0604020202020204"/>
    <w:charset w:val="00"/>
    <w:family w:val="decorative"/>
    <w:pitch w:val="default"/>
    <w:sig w:usb0="00000000" w:usb1="00000000" w:usb2="00000000" w:usb3="00000000" w:csb0="00000001"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Helvetica">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0DCA"/>
    <w:rsid w:val="179C654F"/>
    <w:rsid w:val="523C0D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2021-06-04T03:39:00Z</dcterms:created>
  <dc:creator>胡耀艺</dc:creator>
  <cp:lastModifiedBy>胡耀艺</cp:lastModifiedBy>
  <dcterms:modified xsi:type="dcterms:W3CDTF">2021-06-08T01:35:27Z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