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A5A" w:rsidRPr="00973DBF" w:rsidRDefault="002E1DA2">
      <w:pPr>
        <w:widowControl/>
        <w:adjustRightInd w:val="0"/>
        <w:snapToGrid w:val="0"/>
        <w:spacing w:line="520" w:lineRule="exact"/>
        <w:jc w:val="center"/>
        <w:rPr>
          <w:rFonts w:ascii="方正小标宋简体" w:eastAsia="方正小标宋简体" w:hAnsi="黑体" w:cs="宋体"/>
          <w:sz w:val="44"/>
          <w:szCs w:val="44"/>
        </w:rPr>
      </w:pPr>
      <w:r w:rsidRPr="00973DBF">
        <w:rPr>
          <w:rFonts w:ascii="方正小标宋简体" w:eastAsia="方正小标宋简体" w:hAnsi="黑体" w:cs="宋体" w:hint="eastAsia"/>
          <w:sz w:val="44"/>
          <w:szCs w:val="44"/>
        </w:rPr>
        <w:t>贵州茅台酒股份有限公司和</w:t>
      </w:r>
      <w:proofErr w:type="gramStart"/>
      <w:r w:rsidRPr="00973DBF">
        <w:rPr>
          <w:rFonts w:ascii="方正小标宋简体" w:eastAsia="方正小标宋简体" w:hAnsi="黑体" w:cs="宋体" w:hint="eastAsia"/>
          <w:sz w:val="44"/>
          <w:szCs w:val="44"/>
        </w:rPr>
        <w:t>义兴</w:t>
      </w:r>
      <w:proofErr w:type="gramEnd"/>
      <w:r w:rsidRPr="00973DBF">
        <w:rPr>
          <w:rFonts w:ascii="方正小标宋简体" w:eastAsia="方正小标宋简体" w:hAnsi="黑体" w:cs="宋体" w:hint="eastAsia"/>
          <w:sz w:val="44"/>
          <w:szCs w:val="44"/>
        </w:rPr>
        <w:t>酒业分公司</w:t>
      </w:r>
    </w:p>
    <w:p w:rsidR="009A2A5A" w:rsidRPr="00973DBF" w:rsidRDefault="002E1DA2" w:rsidP="00973DBF">
      <w:pPr>
        <w:widowControl/>
        <w:adjustRightInd w:val="0"/>
        <w:snapToGrid w:val="0"/>
        <w:spacing w:line="520" w:lineRule="exact"/>
        <w:jc w:val="center"/>
        <w:rPr>
          <w:rFonts w:ascii="方正小标宋简体" w:eastAsia="方正小标宋简体" w:hAnsi="黑体" w:cs="宋体"/>
          <w:sz w:val="44"/>
          <w:szCs w:val="44"/>
        </w:rPr>
      </w:pPr>
      <w:r w:rsidRPr="00973DBF">
        <w:rPr>
          <w:rFonts w:ascii="方正小标宋简体" w:eastAsia="方正小标宋简体" w:hAnsi="黑体" w:cs="宋体" w:hint="eastAsia"/>
          <w:sz w:val="44"/>
          <w:szCs w:val="44"/>
        </w:rPr>
        <w:t>202</w:t>
      </w:r>
      <w:r w:rsidRPr="00973DBF">
        <w:rPr>
          <w:rFonts w:ascii="方正小标宋简体" w:eastAsia="方正小标宋简体" w:hAnsi="黑体" w:cs="宋体"/>
          <w:sz w:val="44"/>
          <w:szCs w:val="44"/>
        </w:rPr>
        <w:t>1</w:t>
      </w:r>
      <w:r w:rsidRPr="00973DBF">
        <w:rPr>
          <w:rFonts w:ascii="方正小标宋简体" w:eastAsia="方正小标宋简体" w:hAnsi="黑体" w:cs="宋体" w:hint="eastAsia"/>
          <w:sz w:val="44"/>
          <w:szCs w:val="44"/>
        </w:rPr>
        <w:t>年</w:t>
      </w:r>
      <w:r w:rsidR="00224B41" w:rsidRPr="00973DBF">
        <w:rPr>
          <w:rFonts w:ascii="方正小标宋简体" w:eastAsia="方正小标宋简体" w:hAnsi="黑体" w:cs="宋体" w:hint="eastAsia"/>
          <w:sz w:val="44"/>
          <w:szCs w:val="44"/>
        </w:rPr>
        <w:t>管理人员招聘面试</w:t>
      </w:r>
      <w:r w:rsidRPr="00973DBF">
        <w:rPr>
          <w:rFonts w:ascii="方正小标宋简体" w:eastAsia="方正小标宋简体" w:hAnsi="黑体" w:cs="宋体" w:hint="eastAsia"/>
          <w:sz w:val="44"/>
          <w:szCs w:val="44"/>
        </w:rPr>
        <w:t>疫情防控告知</w:t>
      </w:r>
      <w:proofErr w:type="gramStart"/>
      <w:r w:rsidRPr="00973DBF">
        <w:rPr>
          <w:rFonts w:ascii="方正小标宋简体" w:eastAsia="方正小标宋简体" w:hAnsi="黑体" w:cs="宋体" w:hint="eastAsia"/>
          <w:sz w:val="44"/>
          <w:szCs w:val="44"/>
        </w:rPr>
        <w:t>书暨承诺</w:t>
      </w:r>
      <w:proofErr w:type="gramEnd"/>
      <w:r w:rsidRPr="00973DBF">
        <w:rPr>
          <w:rFonts w:ascii="方正小标宋简体" w:eastAsia="方正小标宋简体" w:hAnsi="黑体" w:cs="宋体" w:hint="eastAsia"/>
          <w:sz w:val="44"/>
          <w:szCs w:val="44"/>
        </w:rPr>
        <w:t>书</w:t>
      </w:r>
      <w:bookmarkStart w:id="0" w:name="_GoBack"/>
      <w:bookmarkEnd w:id="0"/>
    </w:p>
    <w:p w:rsidR="001A5FFC" w:rsidRDefault="001A5FFC" w:rsidP="001A5FFC">
      <w:pPr>
        <w:widowControl/>
        <w:adjustRightInd w:val="0"/>
        <w:snapToGrid w:val="0"/>
        <w:spacing w:line="560" w:lineRule="exact"/>
        <w:ind w:firstLineChars="200" w:firstLine="640"/>
        <w:rPr>
          <w:rFonts w:ascii="仿宋_GB2312" w:eastAsia="仿宋_GB2312" w:hAnsi="仿宋" w:cs="仿宋_GB2312"/>
          <w:sz w:val="32"/>
          <w:szCs w:val="32"/>
        </w:rPr>
      </w:pPr>
    </w:p>
    <w:p w:rsidR="009A2A5A" w:rsidRDefault="002E1DA2" w:rsidP="001A5FFC">
      <w:pPr>
        <w:widowControl/>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考生</w:t>
      </w:r>
      <w:r>
        <w:rPr>
          <w:rFonts w:ascii="仿宋_GB2312" w:eastAsia="仿宋_GB2312" w:hAnsi="仿宋" w:cs="仿宋_GB2312" w:hint="eastAsia"/>
          <w:sz w:val="32"/>
          <w:szCs w:val="32"/>
          <w:lang w:eastAsia="zh-Hans"/>
        </w:rPr>
        <w:t>参加</w:t>
      </w:r>
      <w:r w:rsidR="00224B41">
        <w:rPr>
          <w:rFonts w:ascii="仿宋_GB2312" w:eastAsia="仿宋_GB2312" w:hAnsi="仿宋" w:cs="仿宋_GB2312" w:hint="eastAsia"/>
          <w:sz w:val="32"/>
          <w:szCs w:val="32"/>
          <w:lang w:eastAsia="zh-Hans"/>
        </w:rPr>
        <w:t>面试</w:t>
      </w:r>
      <w:r>
        <w:rPr>
          <w:rFonts w:ascii="仿宋_GB2312" w:eastAsia="仿宋_GB2312" w:hAnsi="仿宋" w:cs="仿宋_GB2312" w:hint="eastAsia"/>
          <w:sz w:val="32"/>
          <w:szCs w:val="32"/>
        </w:rPr>
        <w:t>时应仔细阅读招聘公告、</w:t>
      </w:r>
      <w:r w:rsidR="00224B41">
        <w:rPr>
          <w:rFonts w:ascii="仿宋_GB2312" w:eastAsia="仿宋_GB2312" w:hAnsi="仿宋" w:cs="仿宋_GB2312" w:hint="eastAsia"/>
          <w:sz w:val="32"/>
          <w:szCs w:val="32"/>
        </w:rPr>
        <w:t>面试</w:t>
      </w:r>
      <w:r>
        <w:rPr>
          <w:rFonts w:ascii="仿宋_GB2312" w:eastAsia="仿宋_GB2312" w:hAnsi="仿宋" w:cs="仿宋_GB2312" w:hint="eastAsia"/>
          <w:sz w:val="32"/>
          <w:szCs w:val="32"/>
          <w:lang w:eastAsia="zh-Hans"/>
        </w:rPr>
        <w:t>通知</w:t>
      </w:r>
      <w:r>
        <w:rPr>
          <w:rFonts w:ascii="仿宋_GB2312" w:eastAsia="仿宋_GB2312" w:hAnsi="仿宋" w:cs="仿宋_GB2312" w:hint="eastAsia"/>
          <w:sz w:val="32"/>
          <w:szCs w:val="32"/>
        </w:rPr>
        <w:t>、《贵州茅台酒股份有限公司和义兴酒业分公司2021年</w:t>
      </w:r>
      <w:r w:rsidR="00224B41">
        <w:rPr>
          <w:rFonts w:ascii="仿宋_GB2312" w:eastAsia="仿宋_GB2312" w:hAnsi="仿宋" w:cs="仿宋_GB2312" w:hint="eastAsia"/>
          <w:sz w:val="32"/>
          <w:szCs w:val="32"/>
        </w:rPr>
        <w:t>管理人员</w:t>
      </w:r>
      <w:r w:rsidR="00973DBF">
        <w:rPr>
          <w:rFonts w:ascii="仿宋_GB2312" w:eastAsia="仿宋_GB2312" w:hAnsi="仿宋" w:cs="仿宋_GB2312" w:hint="eastAsia"/>
          <w:sz w:val="32"/>
          <w:szCs w:val="32"/>
        </w:rPr>
        <w:t>招聘</w:t>
      </w:r>
      <w:r w:rsidR="00224B41">
        <w:rPr>
          <w:rFonts w:ascii="仿宋_GB2312" w:eastAsia="仿宋_GB2312" w:hAnsi="仿宋" w:cs="仿宋_GB2312" w:hint="eastAsia"/>
          <w:sz w:val="32"/>
          <w:szCs w:val="32"/>
        </w:rPr>
        <w:t>面试</w:t>
      </w:r>
      <w:r>
        <w:rPr>
          <w:rFonts w:ascii="仿宋_GB2312" w:eastAsia="仿宋_GB2312" w:hAnsi="仿宋" w:cs="仿宋_GB2312" w:hint="eastAsia"/>
          <w:sz w:val="32"/>
          <w:szCs w:val="32"/>
        </w:rPr>
        <w:t>疫情防控告知书》等相关内容，承诺已知悉告知事项和防疫要求，自愿承担因不实承诺带来的相关责任。</w:t>
      </w:r>
    </w:p>
    <w:p w:rsidR="009A2A5A" w:rsidRDefault="002E1DA2" w:rsidP="001A5FFC">
      <w:pPr>
        <w:pStyle w:val="3"/>
        <w:widowControl/>
        <w:shd w:val="clear" w:color="auto" w:fill="FFFFFF"/>
        <w:adjustRightInd w:val="0"/>
        <w:snapToGrid w:val="0"/>
        <w:spacing w:beforeAutospacing="0" w:afterAutospacing="0" w:line="560" w:lineRule="exact"/>
        <w:ind w:firstLineChars="200" w:firstLine="640"/>
        <w:jc w:val="both"/>
        <w:rPr>
          <w:rFonts w:ascii="仿宋_GB2312" w:eastAsia="仿宋_GB2312" w:hAnsi="仿宋" w:cs="仿宋_GB2312" w:hint="default"/>
          <w:sz w:val="32"/>
          <w:szCs w:val="32"/>
        </w:rPr>
      </w:pPr>
      <w:r>
        <w:rPr>
          <w:rFonts w:ascii="仿宋_GB2312" w:eastAsia="仿宋_GB2312" w:hAnsi="仿宋" w:cs="仿宋_GB2312"/>
          <w:b w:val="0"/>
          <w:kern w:val="2"/>
          <w:sz w:val="32"/>
          <w:szCs w:val="32"/>
        </w:rPr>
        <w:t>根据贵州省最新疫情防控相关要求，贵州茅台酒股份有限公司和</w:t>
      </w:r>
      <w:proofErr w:type="gramStart"/>
      <w:r>
        <w:rPr>
          <w:rFonts w:ascii="仿宋_GB2312" w:eastAsia="仿宋_GB2312" w:hAnsi="仿宋" w:cs="仿宋_GB2312"/>
          <w:b w:val="0"/>
          <w:kern w:val="2"/>
          <w:sz w:val="32"/>
          <w:szCs w:val="32"/>
        </w:rPr>
        <w:t>义兴</w:t>
      </w:r>
      <w:proofErr w:type="gramEnd"/>
      <w:r>
        <w:rPr>
          <w:rFonts w:ascii="仿宋_GB2312" w:eastAsia="仿宋_GB2312" w:hAnsi="仿宋" w:cs="仿宋_GB2312"/>
          <w:b w:val="0"/>
          <w:kern w:val="2"/>
          <w:sz w:val="32"/>
          <w:szCs w:val="32"/>
        </w:rPr>
        <w:t>酒业分公司2021年</w:t>
      </w:r>
      <w:r w:rsidR="00973DBF">
        <w:rPr>
          <w:rFonts w:ascii="仿宋_GB2312" w:eastAsia="仿宋_GB2312" w:hAnsi="仿宋" w:cs="仿宋_GB2312"/>
          <w:b w:val="0"/>
          <w:kern w:val="2"/>
          <w:sz w:val="32"/>
          <w:szCs w:val="32"/>
        </w:rPr>
        <w:t>管理人员招聘面试</w:t>
      </w:r>
      <w:r>
        <w:rPr>
          <w:rFonts w:ascii="仿宋_GB2312" w:eastAsia="仿宋_GB2312" w:hAnsi="仿宋" w:cs="仿宋_GB2312"/>
          <w:b w:val="0"/>
          <w:kern w:val="2"/>
          <w:sz w:val="32"/>
          <w:szCs w:val="32"/>
        </w:rPr>
        <w:t>要求如下：</w:t>
      </w:r>
    </w:p>
    <w:p w:rsidR="009A2A5A" w:rsidRPr="001A5FFC" w:rsidRDefault="002E1DA2" w:rsidP="001A5FFC">
      <w:pPr>
        <w:spacing w:line="560" w:lineRule="exact"/>
        <w:ind w:firstLineChars="200" w:firstLine="640"/>
        <w:rPr>
          <w:rFonts w:ascii="黑体" w:eastAsia="黑体" w:hAnsi="黑体" w:cs="仿宋_GB2312"/>
          <w:sz w:val="32"/>
          <w:szCs w:val="32"/>
        </w:rPr>
      </w:pPr>
      <w:r w:rsidRPr="001A5FFC">
        <w:rPr>
          <w:rFonts w:ascii="黑体" w:eastAsia="黑体" w:hAnsi="黑体" w:cs="仿宋_GB2312" w:hint="eastAsia"/>
          <w:sz w:val="32"/>
          <w:szCs w:val="32"/>
        </w:rPr>
        <w:t>一、有下列情况之一的，不得参考</w:t>
      </w:r>
    </w:p>
    <w:p w:rsidR="009A2A5A" w:rsidRDefault="002E1DA2" w:rsidP="001A5FFC">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1.14</w:t>
      </w:r>
      <w:r w:rsidR="001A5FFC">
        <w:rPr>
          <w:rFonts w:ascii="仿宋_GB2312" w:eastAsia="仿宋_GB2312" w:hAnsi="仿宋" w:cs="仿宋_GB2312" w:hint="eastAsia"/>
          <w:sz w:val="32"/>
          <w:szCs w:val="32"/>
        </w:rPr>
        <w:t>天内有境内中高风险地区、港台地区、境外旅居史的考生</w:t>
      </w:r>
      <w:r>
        <w:rPr>
          <w:rFonts w:ascii="仿宋_GB2312" w:eastAsia="仿宋_GB2312" w:hAnsi="仿宋" w:cs="仿宋_GB2312" w:hint="eastAsia"/>
          <w:sz w:val="32"/>
          <w:szCs w:val="32"/>
        </w:rPr>
        <w:t>。</w:t>
      </w:r>
    </w:p>
    <w:p w:rsidR="009A2A5A" w:rsidRDefault="002E1DA2" w:rsidP="001A5FFC">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2.新冠肺炎确诊病例，无症状感染者和密切、次密接人员。</w:t>
      </w:r>
    </w:p>
    <w:p w:rsidR="009A2A5A" w:rsidRDefault="002E1DA2" w:rsidP="001A5FFC">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3.14天内有本土阳性病例报告地区（尚未调整风险等级）旅居史或与阳性病例活动轨迹有交集人员。</w:t>
      </w:r>
    </w:p>
    <w:p w:rsidR="009A2A5A" w:rsidRDefault="002E1DA2" w:rsidP="001A5FFC">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4.尚在居家隔离或健康监测期内的人员。</w:t>
      </w:r>
    </w:p>
    <w:p w:rsidR="009A2A5A" w:rsidRDefault="002E1DA2" w:rsidP="001A5FFC">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5.考试期间有发热、咳嗽、腹泻等症状且不能排除新冠病毒感染的人员。</w:t>
      </w:r>
    </w:p>
    <w:p w:rsidR="009A2A5A" w:rsidRDefault="002E1DA2" w:rsidP="001A5FFC">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6.到达我省后14</w:t>
      </w:r>
      <w:r w:rsidR="001A5FFC">
        <w:rPr>
          <w:rFonts w:ascii="仿宋_GB2312" w:eastAsia="仿宋_GB2312" w:hAnsi="仿宋" w:cs="仿宋_GB2312" w:hint="eastAsia"/>
          <w:sz w:val="32"/>
          <w:szCs w:val="32"/>
        </w:rPr>
        <w:t>天内旅居地区调整为中高风险等级的人员</w:t>
      </w:r>
      <w:r>
        <w:rPr>
          <w:rFonts w:ascii="仿宋_GB2312" w:eastAsia="仿宋_GB2312" w:hAnsi="仿宋" w:cs="仿宋_GB2312" w:hint="eastAsia"/>
          <w:sz w:val="32"/>
          <w:szCs w:val="32"/>
        </w:rPr>
        <w:t>。</w:t>
      </w:r>
    </w:p>
    <w:p w:rsidR="009A2A5A" w:rsidRDefault="002E1DA2" w:rsidP="001A5FFC">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7.未开始接种新冠肺炎病毒疫苗且无法提供医院开具的接种禁忌症证明</w:t>
      </w:r>
      <w:r w:rsidR="001A5FFC">
        <w:rPr>
          <w:rFonts w:ascii="仿宋_GB2312" w:eastAsia="仿宋_GB2312" w:hAnsi="仿宋" w:cs="仿宋_GB2312" w:hint="eastAsia"/>
          <w:sz w:val="32"/>
          <w:szCs w:val="32"/>
        </w:rPr>
        <w:t>的</w:t>
      </w:r>
      <w:r>
        <w:rPr>
          <w:rFonts w:ascii="仿宋_GB2312" w:eastAsia="仿宋_GB2312" w:hAnsi="仿宋" w:cs="仿宋_GB2312" w:hint="eastAsia"/>
          <w:sz w:val="32"/>
          <w:szCs w:val="32"/>
        </w:rPr>
        <w:t>。</w:t>
      </w:r>
    </w:p>
    <w:p w:rsidR="009A2A5A" w:rsidRDefault="002E1DA2" w:rsidP="001A5FFC">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lastRenderedPageBreak/>
        <w:t>8.其他风险人员有未满足健康申报、新冠病毒核酸检测阴性证明等情况者。</w:t>
      </w:r>
    </w:p>
    <w:p w:rsidR="009A2A5A" w:rsidRPr="001A5FFC" w:rsidRDefault="002E1DA2" w:rsidP="001A5FFC">
      <w:pPr>
        <w:spacing w:line="560" w:lineRule="exact"/>
        <w:ind w:firstLineChars="200" w:firstLine="640"/>
        <w:rPr>
          <w:rFonts w:ascii="黑体" w:eastAsia="黑体" w:hAnsi="黑体" w:cs="仿宋_GB2312"/>
          <w:sz w:val="32"/>
          <w:szCs w:val="32"/>
        </w:rPr>
      </w:pPr>
      <w:r w:rsidRPr="001A5FFC">
        <w:rPr>
          <w:rFonts w:ascii="黑体" w:eastAsia="黑体" w:hAnsi="黑体" w:cs="仿宋_GB2312" w:hint="eastAsia"/>
          <w:sz w:val="32"/>
          <w:szCs w:val="32"/>
        </w:rPr>
        <w:t>二、核酸检测要求</w:t>
      </w:r>
    </w:p>
    <w:p w:rsidR="009A2A5A" w:rsidRDefault="002E1DA2" w:rsidP="001A5FFC">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1.已全程接种新冠肺炎病毒疫苗的省内考生，若14天内无出省旅居史，且无风险人员接触史、无发热史，在测温、扫“两码”正常的情况下可入场考试。</w:t>
      </w:r>
    </w:p>
    <w:p w:rsidR="009A2A5A" w:rsidRDefault="002E1DA2" w:rsidP="001A5FFC">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2.未全程接种新冠肺炎病毒疫苗的考生（含省内及省外考生），且无风险人员接触史、无发热史，在测温、扫“两码”正常的情况下，持48小时内核酸检测阴性证明可入场考试。</w:t>
      </w:r>
    </w:p>
    <w:p w:rsidR="009A2A5A" w:rsidRDefault="002E1DA2" w:rsidP="001A5FFC">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3.14天内由省外低风险地区来（返）黔的考生，旅居地直到考前仍为低风险地区，且无阳性病例报告，无阳性病例活动轨迹的，持48小时内核酸检测阴性证明入场考试。</w:t>
      </w:r>
    </w:p>
    <w:p w:rsidR="009A2A5A" w:rsidRDefault="002E1DA2" w:rsidP="001A5FFC">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4.14</w:t>
      </w:r>
      <w:r w:rsidR="001A5FFC">
        <w:rPr>
          <w:rFonts w:ascii="仿宋_GB2312" w:eastAsia="仿宋_GB2312" w:hAnsi="仿宋" w:cs="仿宋_GB2312" w:hint="eastAsia"/>
          <w:sz w:val="32"/>
          <w:szCs w:val="32"/>
        </w:rPr>
        <w:t>天内有发热、咳嗽等症状的考生</w:t>
      </w:r>
      <w:r>
        <w:rPr>
          <w:rFonts w:ascii="仿宋_GB2312" w:eastAsia="仿宋_GB2312" w:hAnsi="仿宋" w:cs="仿宋_GB2312" w:hint="eastAsia"/>
          <w:sz w:val="32"/>
          <w:szCs w:val="32"/>
        </w:rPr>
        <w:t>，须待发热、咳嗽等症状完全消失，持48小时内核酸检测阴性证明，且考试当天扫“两码”正常、入场体温检测正常（低于37.3℃）方可参加考试。</w:t>
      </w:r>
    </w:p>
    <w:p w:rsidR="009A2A5A" w:rsidRPr="001A5FFC" w:rsidRDefault="002E1DA2" w:rsidP="001A5FFC">
      <w:pPr>
        <w:spacing w:line="560" w:lineRule="exact"/>
        <w:ind w:firstLineChars="200" w:firstLine="640"/>
        <w:rPr>
          <w:rFonts w:ascii="黑体" w:eastAsia="黑体" w:hAnsi="黑体" w:cs="仿宋_GB2312"/>
          <w:sz w:val="32"/>
          <w:szCs w:val="32"/>
        </w:rPr>
      </w:pPr>
      <w:r w:rsidRPr="001A5FFC">
        <w:rPr>
          <w:rFonts w:ascii="黑体" w:eastAsia="黑体" w:hAnsi="黑体" w:cs="仿宋_GB2312" w:hint="eastAsia"/>
          <w:sz w:val="32"/>
          <w:szCs w:val="32"/>
        </w:rPr>
        <w:t>三、考生入场检测规定</w:t>
      </w:r>
    </w:p>
    <w:p w:rsidR="009A2A5A" w:rsidRDefault="002E1DA2" w:rsidP="001A5FFC">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考生应至少提前30分钟到达考点，全程佩戴一次性医用口罩。考生进入考场前，所有考生必须配合进行体温检测，扫描“通信大数据行程卡”和“贵州健康码”，查验身份证及准考证，检查标准如下：</w:t>
      </w:r>
    </w:p>
    <w:p w:rsidR="009A2A5A" w:rsidRDefault="002E1DA2" w:rsidP="001A5FFC">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1.体温正常（低于37.3℃）、贵州健康码</w:t>
      </w:r>
      <w:proofErr w:type="gramStart"/>
      <w:r>
        <w:rPr>
          <w:rFonts w:ascii="仿宋_GB2312" w:eastAsia="仿宋_GB2312" w:hAnsi="仿宋" w:cs="仿宋_GB2312" w:hint="eastAsia"/>
          <w:sz w:val="32"/>
          <w:szCs w:val="32"/>
        </w:rPr>
        <w:t>”</w:t>
      </w:r>
      <w:proofErr w:type="gramEnd"/>
      <w:r>
        <w:rPr>
          <w:rFonts w:ascii="仿宋_GB2312" w:eastAsia="仿宋_GB2312" w:hAnsi="仿宋" w:cs="仿宋_GB2312" w:hint="eastAsia"/>
          <w:sz w:val="32"/>
          <w:szCs w:val="32"/>
        </w:rPr>
        <w:t>“行程码”均为绿码，</w:t>
      </w:r>
      <w:proofErr w:type="gramStart"/>
      <w:r>
        <w:rPr>
          <w:rFonts w:ascii="仿宋_GB2312" w:eastAsia="仿宋_GB2312" w:hAnsi="仿宋" w:cs="仿宋_GB2312" w:hint="eastAsia"/>
          <w:sz w:val="32"/>
          <w:szCs w:val="32"/>
        </w:rPr>
        <w:t>并已且满</w:t>
      </w:r>
      <w:proofErr w:type="gramEnd"/>
      <w:r>
        <w:rPr>
          <w:rFonts w:ascii="仿宋_GB2312" w:eastAsia="仿宋_GB2312" w:hAnsi="仿宋" w:cs="仿宋_GB2312" w:hint="eastAsia"/>
          <w:sz w:val="32"/>
          <w:szCs w:val="32"/>
        </w:rPr>
        <w:t>足行程管理要求的考生方可入场考试。</w:t>
      </w:r>
    </w:p>
    <w:p w:rsidR="009A2A5A" w:rsidRDefault="002E1DA2" w:rsidP="001A5FFC">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lastRenderedPageBreak/>
        <w:t>2.体温≥37.3℃的考生，须立即安排进入临时隔离检查室，由现场医务人员使用水银温度计进行体温复测，并排查其流行病学史。经现场医务人员复查体温正常、无流行病学史等综合评估后，可以进入考点。连续3次测量体温≥37.3℃的考生不得进入考点。</w:t>
      </w:r>
    </w:p>
    <w:p w:rsidR="009A2A5A" w:rsidRDefault="002E1DA2" w:rsidP="001A5FFC">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4．“贵州健康码”</w:t>
      </w:r>
      <w:proofErr w:type="gramStart"/>
      <w:r>
        <w:rPr>
          <w:rFonts w:ascii="仿宋_GB2312" w:eastAsia="仿宋_GB2312" w:hAnsi="仿宋" w:cs="仿宋_GB2312" w:hint="eastAsia"/>
          <w:sz w:val="32"/>
          <w:szCs w:val="32"/>
        </w:rPr>
        <w:t>非绿码的</w:t>
      </w:r>
      <w:proofErr w:type="gramEnd"/>
      <w:r>
        <w:rPr>
          <w:rFonts w:ascii="仿宋_GB2312" w:eastAsia="仿宋_GB2312" w:hAnsi="仿宋" w:cs="仿宋_GB2312" w:hint="eastAsia"/>
          <w:sz w:val="32"/>
          <w:szCs w:val="32"/>
        </w:rPr>
        <w:t>考生不得进入考点参加考试。</w:t>
      </w:r>
    </w:p>
    <w:p w:rsidR="009A2A5A" w:rsidRDefault="002E1DA2" w:rsidP="001A5FFC">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5.“通信大数据行程卡”显示14天内由省外地区来（返）黔的考生，且无阳性病例报告，无阳性病例活动轨迹的，持48小时内核酸检测阴性证明入场考试；14天内有本土阳性病例报告地区（尚未调整风险等级）旅居史或与阳性病例活动轨迹有交集人员不得进入考点参加考试。</w:t>
      </w:r>
    </w:p>
    <w:p w:rsidR="009A2A5A" w:rsidRDefault="002E1DA2" w:rsidP="001A5FFC">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6.考试当天，经现场医务人员评估有可疑症状的考生，需配合工作人员按卫生健康部门要求到相应医院就诊，不得进入考点参加考试。</w:t>
      </w:r>
    </w:p>
    <w:p w:rsidR="009A2A5A" w:rsidRDefault="002E1DA2" w:rsidP="001A5FFC">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7.考生应自备一次性医用口罩，除核验身份和参加体能测试时，须全程佩戴，做好个人防护。未按要求佩戴口罩的考生，不得进入考点考场。</w:t>
      </w:r>
      <w:r>
        <w:rPr>
          <w:rFonts w:ascii="仿宋_GB2312" w:eastAsia="仿宋_GB2312" w:hAnsi="仿宋" w:cs="仿宋_GB2312" w:hint="eastAsia"/>
          <w:sz w:val="32"/>
          <w:szCs w:val="32"/>
          <w:lang w:eastAsia="zh-Hans"/>
        </w:rPr>
        <w:t>等待</w:t>
      </w:r>
      <w:r>
        <w:rPr>
          <w:rFonts w:ascii="仿宋_GB2312" w:eastAsia="仿宋_GB2312" w:hAnsi="仿宋" w:cs="仿宋_GB2312" w:hint="eastAsia"/>
          <w:sz w:val="32"/>
          <w:szCs w:val="32"/>
        </w:rPr>
        <w:t>过程需全程佩戴口罩。</w:t>
      </w:r>
    </w:p>
    <w:p w:rsidR="009A2A5A" w:rsidRDefault="002E1DA2" w:rsidP="001A5FFC">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8.除考生和工作人员外，无关人员一律不得进入考点。除考试相关公务车辆和工作人员车辆外，社会车辆不得进入考点。接送考生车辆，应在距离考点大门一定距离处即停即走，避免造成交通拥堵。建议考生提前了解天气状况，做好防雨防晒的个人防护准备。</w:t>
      </w:r>
    </w:p>
    <w:p w:rsidR="009A2A5A" w:rsidRDefault="002E1DA2" w:rsidP="001A5FFC">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lastRenderedPageBreak/>
        <w:t>9.考试结束后，考生要按指令有序离场，不得拥挤扎堆，保持适当安全距离。废弃口罩应自行带走或放到指定垃圾桶，不得随意丢弃。</w:t>
      </w:r>
    </w:p>
    <w:p w:rsidR="009A2A5A" w:rsidRDefault="002E1DA2" w:rsidP="001A5FFC">
      <w:pPr>
        <w:widowControl/>
        <w:adjustRightInd w:val="0"/>
        <w:snapToGrid w:val="0"/>
        <w:spacing w:line="560" w:lineRule="exact"/>
        <w:ind w:firstLineChars="200" w:firstLine="640"/>
        <w:rPr>
          <w:rFonts w:ascii="仿宋_GB2312" w:eastAsia="仿宋_GB2312" w:hAnsi="仿宋" w:cs="仿宋_GB2312"/>
          <w:b/>
          <w:bCs/>
          <w:sz w:val="32"/>
          <w:szCs w:val="32"/>
        </w:rPr>
      </w:pPr>
      <w:r w:rsidRPr="001A5FFC">
        <w:rPr>
          <w:rFonts w:ascii="黑体" w:eastAsia="黑体" w:hAnsi="黑体" w:cs="仿宋_GB2312" w:hint="eastAsia"/>
          <w:bCs/>
          <w:sz w:val="32"/>
          <w:szCs w:val="32"/>
        </w:rPr>
        <w:t>四、</w:t>
      </w:r>
      <w:r>
        <w:rPr>
          <w:rFonts w:ascii="仿宋_GB2312" w:eastAsia="仿宋_GB2312" w:hAnsi="仿宋" w:cs="仿宋_GB2312" w:hint="eastAsia"/>
          <w:b/>
          <w:bCs/>
          <w:sz w:val="32"/>
          <w:szCs w:val="32"/>
        </w:rPr>
        <w:t>考生须符合本文要求方可参加考试，并在考试中全程严格遵守国家、省部的疫情防控规定以及本文要求。因不符合或不遵守疫情防控规定和要求的，造成的一切后果由考生自行负责。请广大考生务必在考试前密切关注有关疫情防控规定和要求的变化，做好相应的参考准备，确保顺利参加本次考试。承诺内容如下：</w:t>
      </w:r>
    </w:p>
    <w:p w:rsidR="009A2A5A" w:rsidRDefault="002E1DA2" w:rsidP="001A5FFC">
      <w:pPr>
        <w:widowControl/>
        <w:adjustRightInd w:val="0"/>
        <w:snapToGrid w:val="0"/>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本人已认真阅读《贵州茅台酒股份有限公司和义兴酒业分公司202</w:t>
      </w:r>
      <w:r>
        <w:rPr>
          <w:rFonts w:ascii="仿宋_GB2312" w:eastAsia="仿宋_GB2312" w:hAnsi="仿宋" w:cs="宋体"/>
          <w:sz w:val="32"/>
          <w:szCs w:val="32"/>
        </w:rPr>
        <w:t>1</w:t>
      </w:r>
      <w:r>
        <w:rPr>
          <w:rFonts w:ascii="仿宋_GB2312" w:eastAsia="仿宋_GB2312" w:hAnsi="仿宋" w:cs="宋体" w:hint="eastAsia"/>
          <w:sz w:val="32"/>
          <w:szCs w:val="32"/>
        </w:rPr>
        <w:t>年</w:t>
      </w:r>
      <w:r w:rsidR="00224B41">
        <w:rPr>
          <w:rFonts w:ascii="仿宋_GB2312" w:eastAsia="仿宋_GB2312" w:hAnsi="仿宋" w:cs="宋体" w:hint="eastAsia"/>
          <w:sz w:val="32"/>
          <w:szCs w:val="32"/>
        </w:rPr>
        <w:t>管理人员面试</w:t>
      </w:r>
      <w:r>
        <w:rPr>
          <w:rFonts w:ascii="仿宋_GB2312" w:eastAsia="仿宋_GB2312" w:hAnsi="仿宋" w:cs="宋体" w:hint="eastAsia"/>
          <w:sz w:val="32"/>
          <w:szCs w:val="32"/>
        </w:rPr>
        <w:t>新冠肺炎疫情防控告知书暨承诺书》，知悉告知事项、证明义务和防疫要求。</w:t>
      </w:r>
    </w:p>
    <w:p w:rsidR="009A2A5A" w:rsidRDefault="002E1DA2" w:rsidP="001A5FFC">
      <w:pPr>
        <w:widowControl/>
        <w:adjustRightInd w:val="0"/>
        <w:snapToGrid w:val="0"/>
        <w:spacing w:line="560" w:lineRule="exact"/>
        <w:ind w:firstLineChars="200" w:firstLine="640"/>
        <w:rPr>
          <w:rFonts w:ascii="仿宋_GB2312" w:eastAsia="仿宋_GB2312" w:hAnsi="仿宋" w:cs="宋体"/>
          <w:sz w:val="32"/>
          <w:szCs w:val="32"/>
          <w:u w:val="single"/>
        </w:rPr>
      </w:pPr>
      <w:r>
        <w:rPr>
          <w:rFonts w:ascii="仿宋_GB2312" w:eastAsia="仿宋_GB2312" w:hAnsi="仿宋" w:cs="宋体" w:hint="eastAsia"/>
          <w:sz w:val="32"/>
          <w:szCs w:val="32"/>
        </w:rPr>
        <w:t>在此</w:t>
      </w:r>
      <w:r>
        <w:rPr>
          <w:rFonts w:ascii="黑体" w:eastAsia="黑体" w:hAnsi="黑体" w:cs="宋体" w:hint="eastAsia"/>
          <w:sz w:val="32"/>
          <w:szCs w:val="32"/>
        </w:rPr>
        <w:t>郑重承诺</w:t>
      </w:r>
      <w:r>
        <w:rPr>
          <w:rFonts w:ascii="仿宋_GB2312" w:eastAsia="仿宋_GB2312" w:hAnsi="仿宋" w:cs="宋体" w:hint="eastAsia"/>
          <w:sz w:val="32"/>
          <w:szCs w:val="32"/>
        </w:rPr>
        <w:t>：</w:t>
      </w:r>
      <w:r>
        <w:rPr>
          <w:rFonts w:ascii="仿宋_GB2312" w:eastAsia="仿宋_GB2312" w:hAnsi="仿宋" w:cs="宋体" w:hint="eastAsia"/>
          <w:sz w:val="32"/>
          <w:szCs w:val="32"/>
          <w:u w:val="single"/>
        </w:rPr>
        <w:t>本人符合可参加考试的情形，本人填报、提交和现场出示的所有信息（证明）均真实、准确、完整、有效，符合疫情防控相关要求，并自愿承担因不实承诺所带来的相关责任。</w:t>
      </w:r>
    </w:p>
    <w:p w:rsidR="009A2A5A" w:rsidRDefault="009A2A5A">
      <w:pPr>
        <w:widowControl/>
        <w:adjustRightInd w:val="0"/>
        <w:snapToGrid w:val="0"/>
        <w:spacing w:line="520" w:lineRule="exact"/>
        <w:rPr>
          <w:rFonts w:ascii="黑体" w:eastAsia="黑体" w:hAnsi="黑体" w:cs="宋体"/>
          <w:sz w:val="32"/>
          <w:szCs w:val="32"/>
        </w:rPr>
      </w:pPr>
    </w:p>
    <w:p w:rsidR="009A2A5A" w:rsidRDefault="009A2A5A">
      <w:pPr>
        <w:widowControl/>
        <w:adjustRightInd w:val="0"/>
        <w:snapToGrid w:val="0"/>
        <w:spacing w:line="520" w:lineRule="exact"/>
        <w:rPr>
          <w:rFonts w:ascii="黑体" w:eastAsia="黑体" w:hAnsi="黑体" w:cs="宋体"/>
          <w:sz w:val="32"/>
          <w:szCs w:val="32"/>
        </w:rPr>
      </w:pPr>
    </w:p>
    <w:p w:rsidR="00ED0D0B" w:rsidRDefault="00ED0D0B">
      <w:pPr>
        <w:widowControl/>
        <w:adjustRightInd w:val="0"/>
        <w:snapToGrid w:val="0"/>
        <w:spacing w:line="520" w:lineRule="exact"/>
        <w:rPr>
          <w:rFonts w:ascii="黑体" w:eastAsia="黑体" w:hAnsi="黑体" w:cs="宋体"/>
          <w:sz w:val="32"/>
          <w:szCs w:val="32"/>
        </w:rPr>
      </w:pPr>
    </w:p>
    <w:p w:rsidR="00ED0D0B" w:rsidRDefault="00ED0D0B">
      <w:pPr>
        <w:widowControl/>
        <w:adjustRightInd w:val="0"/>
        <w:snapToGrid w:val="0"/>
        <w:spacing w:line="520" w:lineRule="exact"/>
        <w:rPr>
          <w:rFonts w:ascii="黑体" w:eastAsia="黑体" w:hAnsi="黑体" w:cs="宋体"/>
          <w:sz w:val="32"/>
          <w:szCs w:val="32"/>
        </w:rPr>
      </w:pPr>
    </w:p>
    <w:p w:rsidR="00ED0D0B" w:rsidRDefault="00ED0D0B">
      <w:pPr>
        <w:widowControl/>
        <w:adjustRightInd w:val="0"/>
        <w:snapToGrid w:val="0"/>
        <w:spacing w:line="520" w:lineRule="exact"/>
        <w:rPr>
          <w:rFonts w:ascii="黑体" w:eastAsia="黑体" w:hAnsi="黑体" w:cs="宋体"/>
          <w:sz w:val="32"/>
          <w:szCs w:val="32"/>
        </w:rPr>
      </w:pPr>
    </w:p>
    <w:p w:rsidR="00ED0D0B" w:rsidRDefault="00ED0D0B">
      <w:pPr>
        <w:widowControl/>
        <w:adjustRightInd w:val="0"/>
        <w:snapToGrid w:val="0"/>
        <w:spacing w:line="520" w:lineRule="exact"/>
        <w:rPr>
          <w:rFonts w:ascii="黑体" w:eastAsia="黑体" w:hAnsi="黑体" w:cs="宋体"/>
          <w:sz w:val="32"/>
          <w:szCs w:val="32"/>
        </w:rPr>
      </w:pPr>
    </w:p>
    <w:p w:rsidR="00FF2BBE" w:rsidRDefault="00FF2BBE">
      <w:pPr>
        <w:widowControl/>
        <w:adjustRightInd w:val="0"/>
        <w:snapToGrid w:val="0"/>
        <w:spacing w:line="520" w:lineRule="exact"/>
        <w:rPr>
          <w:rFonts w:ascii="黑体" w:eastAsia="黑体" w:hAnsi="黑体" w:cs="宋体"/>
          <w:sz w:val="32"/>
          <w:szCs w:val="32"/>
        </w:rPr>
      </w:pPr>
    </w:p>
    <w:p w:rsidR="00FF2BBE" w:rsidRDefault="00FF2BBE">
      <w:pPr>
        <w:widowControl/>
        <w:adjustRightInd w:val="0"/>
        <w:snapToGrid w:val="0"/>
        <w:spacing w:line="520" w:lineRule="exact"/>
        <w:rPr>
          <w:rFonts w:ascii="黑体" w:eastAsia="黑体" w:hAnsi="黑体" w:cs="宋体"/>
          <w:sz w:val="32"/>
          <w:szCs w:val="32"/>
        </w:rPr>
      </w:pPr>
    </w:p>
    <w:p w:rsidR="009A2A5A" w:rsidRDefault="002E1DA2">
      <w:pPr>
        <w:widowControl/>
        <w:adjustRightInd w:val="0"/>
        <w:snapToGrid w:val="0"/>
        <w:spacing w:line="520" w:lineRule="exact"/>
        <w:rPr>
          <w:rFonts w:ascii="黑体" w:eastAsia="黑体" w:hAnsi="黑体" w:cs="宋体"/>
          <w:sz w:val="32"/>
          <w:szCs w:val="32"/>
        </w:rPr>
      </w:pPr>
      <w:r>
        <w:rPr>
          <w:rFonts w:ascii="黑体" w:eastAsia="黑体" w:hAnsi="黑体" w:cs="宋体" w:hint="eastAsia"/>
          <w:sz w:val="32"/>
          <w:szCs w:val="32"/>
        </w:rPr>
        <w:t>签名：</w:t>
      </w:r>
    </w:p>
    <w:tbl>
      <w:tblPr>
        <w:tblStyle w:val="a5"/>
        <w:tblW w:w="9297" w:type="dxa"/>
        <w:tblInd w:w="-239" w:type="dxa"/>
        <w:tblLayout w:type="fixed"/>
        <w:tblLook w:val="04A0" w:firstRow="1" w:lastRow="0" w:firstColumn="1" w:lastColumn="0" w:noHBand="0" w:noVBand="1"/>
      </w:tblPr>
      <w:tblGrid>
        <w:gridCol w:w="1750"/>
        <w:gridCol w:w="1509"/>
        <w:gridCol w:w="1509"/>
        <w:gridCol w:w="1509"/>
        <w:gridCol w:w="1510"/>
        <w:gridCol w:w="1510"/>
      </w:tblGrid>
      <w:tr w:rsidR="009A2A5A">
        <w:trPr>
          <w:trHeight w:val="532"/>
        </w:trPr>
        <w:tc>
          <w:tcPr>
            <w:tcW w:w="1750"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10"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10" w:type="dxa"/>
          </w:tcPr>
          <w:p w:rsidR="009A2A5A" w:rsidRDefault="009A2A5A">
            <w:pPr>
              <w:widowControl/>
              <w:adjustRightInd w:val="0"/>
              <w:snapToGrid w:val="0"/>
              <w:spacing w:line="520" w:lineRule="exact"/>
              <w:rPr>
                <w:rFonts w:ascii="黑体" w:eastAsia="黑体" w:hAnsi="黑体" w:cs="宋体"/>
                <w:sz w:val="32"/>
                <w:szCs w:val="32"/>
                <w:u w:val="single"/>
              </w:rPr>
            </w:pPr>
          </w:p>
        </w:tc>
      </w:tr>
      <w:tr w:rsidR="009A2A5A">
        <w:trPr>
          <w:trHeight w:val="532"/>
        </w:trPr>
        <w:tc>
          <w:tcPr>
            <w:tcW w:w="1750"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10"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10" w:type="dxa"/>
          </w:tcPr>
          <w:p w:rsidR="009A2A5A" w:rsidRDefault="009A2A5A">
            <w:pPr>
              <w:widowControl/>
              <w:adjustRightInd w:val="0"/>
              <w:snapToGrid w:val="0"/>
              <w:spacing w:line="520" w:lineRule="exact"/>
              <w:rPr>
                <w:rFonts w:ascii="黑体" w:eastAsia="黑体" w:hAnsi="黑体" w:cs="宋体"/>
                <w:sz w:val="32"/>
                <w:szCs w:val="32"/>
                <w:u w:val="single"/>
              </w:rPr>
            </w:pPr>
          </w:p>
        </w:tc>
      </w:tr>
      <w:tr w:rsidR="009A2A5A">
        <w:trPr>
          <w:trHeight w:val="532"/>
        </w:trPr>
        <w:tc>
          <w:tcPr>
            <w:tcW w:w="1750"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10"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10" w:type="dxa"/>
          </w:tcPr>
          <w:p w:rsidR="009A2A5A" w:rsidRDefault="009A2A5A">
            <w:pPr>
              <w:widowControl/>
              <w:adjustRightInd w:val="0"/>
              <w:snapToGrid w:val="0"/>
              <w:spacing w:line="520" w:lineRule="exact"/>
              <w:rPr>
                <w:rFonts w:ascii="黑体" w:eastAsia="黑体" w:hAnsi="黑体" w:cs="宋体"/>
                <w:sz w:val="32"/>
                <w:szCs w:val="32"/>
                <w:u w:val="single"/>
              </w:rPr>
            </w:pPr>
          </w:p>
        </w:tc>
      </w:tr>
      <w:tr w:rsidR="009A2A5A">
        <w:trPr>
          <w:trHeight w:val="532"/>
        </w:trPr>
        <w:tc>
          <w:tcPr>
            <w:tcW w:w="1750"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10"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10" w:type="dxa"/>
          </w:tcPr>
          <w:p w:rsidR="009A2A5A" w:rsidRDefault="009A2A5A">
            <w:pPr>
              <w:widowControl/>
              <w:adjustRightInd w:val="0"/>
              <w:snapToGrid w:val="0"/>
              <w:spacing w:line="520" w:lineRule="exact"/>
              <w:rPr>
                <w:rFonts w:ascii="黑体" w:eastAsia="黑体" w:hAnsi="黑体" w:cs="宋体"/>
                <w:sz w:val="32"/>
                <w:szCs w:val="32"/>
                <w:u w:val="single"/>
              </w:rPr>
            </w:pPr>
          </w:p>
        </w:tc>
      </w:tr>
      <w:tr w:rsidR="009A2A5A">
        <w:trPr>
          <w:trHeight w:val="552"/>
        </w:trPr>
        <w:tc>
          <w:tcPr>
            <w:tcW w:w="1750"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10"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10" w:type="dxa"/>
          </w:tcPr>
          <w:p w:rsidR="009A2A5A" w:rsidRDefault="009A2A5A">
            <w:pPr>
              <w:widowControl/>
              <w:adjustRightInd w:val="0"/>
              <w:snapToGrid w:val="0"/>
              <w:spacing w:line="520" w:lineRule="exact"/>
              <w:rPr>
                <w:rFonts w:ascii="黑体" w:eastAsia="黑体" w:hAnsi="黑体" w:cs="宋体"/>
                <w:sz w:val="32"/>
                <w:szCs w:val="32"/>
                <w:u w:val="single"/>
              </w:rPr>
            </w:pPr>
          </w:p>
        </w:tc>
      </w:tr>
      <w:tr w:rsidR="009A2A5A">
        <w:trPr>
          <w:trHeight w:val="532"/>
        </w:trPr>
        <w:tc>
          <w:tcPr>
            <w:tcW w:w="1750"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10"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10" w:type="dxa"/>
          </w:tcPr>
          <w:p w:rsidR="009A2A5A" w:rsidRDefault="009A2A5A">
            <w:pPr>
              <w:widowControl/>
              <w:adjustRightInd w:val="0"/>
              <w:snapToGrid w:val="0"/>
              <w:spacing w:line="520" w:lineRule="exact"/>
              <w:rPr>
                <w:rFonts w:ascii="黑体" w:eastAsia="黑体" w:hAnsi="黑体" w:cs="宋体"/>
                <w:sz w:val="32"/>
                <w:szCs w:val="32"/>
                <w:u w:val="single"/>
              </w:rPr>
            </w:pPr>
          </w:p>
        </w:tc>
      </w:tr>
      <w:tr w:rsidR="009A2A5A">
        <w:trPr>
          <w:trHeight w:val="532"/>
        </w:trPr>
        <w:tc>
          <w:tcPr>
            <w:tcW w:w="1750"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10"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10" w:type="dxa"/>
          </w:tcPr>
          <w:p w:rsidR="009A2A5A" w:rsidRDefault="009A2A5A">
            <w:pPr>
              <w:widowControl/>
              <w:adjustRightInd w:val="0"/>
              <w:snapToGrid w:val="0"/>
              <w:spacing w:line="520" w:lineRule="exact"/>
              <w:rPr>
                <w:rFonts w:ascii="黑体" w:eastAsia="黑体" w:hAnsi="黑体" w:cs="宋体"/>
                <w:sz w:val="32"/>
                <w:szCs w:val="32"/>
                <w:u w:val="single"/>
              </w:rPr>
            </w:pPr>
          </w:p>
        </w:tc>
      </w:tr>
      <w:tr w:rsidR="009A2A5A">
        <w:trPr>
          <w:trHeight w:val="552"/>
        </w:trPr>
        <w:tc>
          <w:tcPr>
            <w:tcW w:w="1750"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10"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10" w:type="dxa"/>
          </w:tcPr>
          <w:p w:rsidR="009A2A5A" w:rsidRDefault="009A2A5A">
            <w:pPr>
              <w:widowControl/>
              <w:adjustRightInd w:val="0"/>
              <w:snapToGrid w:val="0"/>
              <w:spacing w:line="520" w:lineRule="exact"/>
              <w:rPr>
                <w:rFonts w:ascii="黑体" w:eastAsia="黑体" w:hAnsi="黑体" w:cs="宋体"/>
                <w:sz w:val="32"/>
                <w:szCs w:val="32"/>
                <w:u w:val="single"/>
              </w:rPr>
            </w:pPr>
          </w:p>
        </w:tc>
      </w:tr>
      <w:tr w:rsidR="009A2A5A">
        <w:trPr>
          <w:trHeight w:val="532"/>
        </w:trPr>
        <w:tc>
          <w:tcPr>
            <w:tcW w:w="1750"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10"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10" w:type="dxa"/>
          </w:tcPr>
          <w:p w:rsidR="009A2A5A" w:rsidRDefault="009A2A5A">
            <w:pPr>
              <w:widowControl/>
              <w:adjustRightInd w:val="0"/>
              <w:snapToGrid w:val="0"/>
              <w:spacing w:line="520" w:lineRule="exact"/>
              <w:rPr>
                <w:rFonts w:ascii="黑体" w:eastAsia="黑体" w:hAnsi="黑体" w:cs="宋体"/>
                <w:sz w:val="32"/>
                <w:szCs w:val="32"/>
                <w:u w:val="single"/>
              </w:rPr>
            </w:pPr>
          </w:p>
        </w:tc>
      </w:tr>
      <w:tr w:rsidR="009A2A5A">
        <w:trPr>
          <w:trHeight w:val="532"/>
        </w:trPr>
        <w:tc>
          <w:tcPr>
            <w:tcW w:w="1750"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10"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10" w:type="dxa"/>
          </w:tcPr>
          <w:p w:rsidR="009A2A5A" w:rsidRDefault="009A2A5A">
            <w:pPr>
              <w:widowControl/>
              <w:adjustRightInd w:val="0"/>
              <w:snapToGrid w:val="0"/>
              <w:spacing w:line="520" w:lineRule="exact"/>
              <w:rPr>
                <w:rFonts w:ascii="黑体" w:eastAsia="黑体" w:hAnsi="黑体" w:cs="宋体"/>
                <w:sz w:val="32"/>
                <w:szCs w:val="32"/>
                <w:u w:val="single"/>
              </w:rPr>
            </w:pPr>
          </w:p>
        </w:tc>
      </w:tr>
      <w:tr w:rsidR="009A2A5A">
        <w:trPr>
          <w:trHeight w:val="552"/>
        </w:trPr>
        <w:tc>
          <w:tcPr>
            <w:tcW w:w="1750"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09"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10" w:type="dxa"/>
          </w:tcPr>
          <w:p w:rsidR="009A2A5A" w:rsidRDefault="009A2A5A">
            <w:pPr>
              <w:widowControl/>
              <w:adjustRightInd w:val="0"/>
              <w:snapToGrid w:val="0"/>
              <w:spacing w:line="520" w:lineRule="exact"/>
              <w:rPr>
                <w:rFonts w:ascii="黑体" w:eastAsia="黑体" w:hAnsi="黑体" w:cs="宋体"/>
                <w:sz w:val="32"/>
                <w:szCs w:val="32"/>
                <w:u w:val="single"/>
              </w:rPr>
            </w:pPr>
          </w:p>
        </w:tc>
        <w:tc>
          <w:tcPr>
            <w:tcW w:w="1510" w:type="dxa"/>
          </w:tcPr>
          <w:p w:rsidR="009A2A5A" w:rsidRDefault="009A2A5A">
            <w:pPr>
              <w:widowControl/>
              <w:adjustRightInd w:val="0"/>
              <w:snapToGrid w:val="0"/>
              <w:spacing w:line="520" w:lineRule="exact"/>
              <w:rPr>
                <w:rFonts w:ascii="黑体" w:eastAsia="黑体" w:hAnsi="黑体" w:cs="宋体"/>
                <w:sz w:val="32"/>
                <w:szCs w:val="32"/>
                <w:u w:val="single"/>
              </w:rPr>
            </w:pPr>
          </w:p>
        </w:tc>
      </w:tr>
    </w:tbl>
    <w:p w:rsidR="00FF2BBE" w:rsidRDefault="00FF2BBE">
      <w:pPr>
        <w:widowControl/>
        <w:adjustRightInd w:val="0"/>
        <w:snapToGrid w:val="0"/>
        <w:spacing w:line="520" w:lineRule="exact"/>
        <w:jc w:val="right"/>
        <w:rPr>
          <w:rFonts w:ascii="仿宋_GB2312" w:eastAsia="仿宋_GB2312" w:hAnsi="仿宋" w:cs="宋体"/>
          <w:sz w:val="32"/>
          <w:szCs w:val="32"/>
        </w:rPr>
      </w:pPr>
    </w:p>
    <w:p w:rsidR="00FF2BBE" w:rsidRDefault="00FF2BBE">
      <w:pPr>
        <w:widowControl/>
        <w:adjustRightInd w:val="0"/>
        <w:snapToGrid w:val="0"/>
        <w:spacing w:line="520" w:lineRule="exact"/>
        <w:jc w:val="right"/>
        <w:rPr>
          <w:rFonts w:ascii="仿宋_GB2312" w:eastAsia="仿宋_GB2312" w:hAnsi="仿宋" w:cs="宋体"/>
          <w:sz w:val="32"/>
          <w:szCs w:val="32"/>
        </w:rPr>
      </w:pPr>
    </w:p>
    <w:p w:rsidR="00FF2BBE" w:rsidRDefault="00FF2BBE">
      <w:pPr>
        <w:widowControl/>
        <w:adjustRightInd w:val="0"/>
        <w:snapToGrid w:val="0"/>
        <w:spacing w:line="520" w:lineRule="exact"/>
        <w:jc w:val="right"/>
        <w:rPr>
          <w:rFonts w:ascii="仿宋_GB2312" w:eastAsia="仿宋_GB2312" w:hAnsi="仿宋" w:cs="宋体"/>
          <w:sz w:val="32"/>
          <w:szCs w:val="32"/>
        </w:rPr>
      </w:pPr>
    </w:p>
    <w:p w:rsidR="00FF2BBE" w:rsidRDefault="00FF2BBE">
      <w:pPr>
        <w:widowControl/>
        <w:adjustRightInd w:val="0"/>
        <w:snapToGrid w:val="0"/>
        <w:spacing w:line="520" w:lineRule="exact"/>
        <w:jc w:val="right"/>
        <w:rPr>
          <w:rFonts w:ascii="仿宋_GB2312" w:eastAsia="仿宋_GB2312" w:hAnsi="仿宋" w:cs="宋体"/>
          <w:sz w:val="32"/>
          <w:szCs w:val="32"/>
        </w:rPr>
      </w:pPr>
      <w:r w:rsidRPr="00FF2BBE">
        <w:rPr>
          <w:rFonts w:ascii="仿宋_GB2312" w:eastAsia="仿宋_GB2312" w:hAnsi="仿宋" w:cs="宋体" w:hint="eastAsia"/>
          <w:sz w:val="32"/>
          <w:szCs w:val="32"/>
        </w:rPr>
        <w:t>贵州茅台酒股份有限公司和</w:t>
      </w:r>
      <w:proofErr w:type="gramStart"/>
      <w:r w:rsidRPr="00FF2BBE">
        <w:rPr>
          <w:rFonts w:ascii="仿宋_GB2312" w:eastAsia="仿宋_GB2312" w:hAnsi="仿宋" w:cs="宋体" w:hint="eastAsia"/>
          <w:sz w:val="32"/>
          <w:szCs w:val="32"/>
        </w:rPr>
        <w:t>义兴</w:t>
      </w:r>
      <w:proofErr w:type="gramEnd"/>
      <w:r w:rsidRPr="00FF2BBE">
        <w:rPr>
          <w:rFonts w:ascii="仿宋_GB2312" w:eastAsia="仿宋_GB2312" w:hAnsi="仿宋" w:cs="宋体" w:hint="eastAsia"/>
          <w:sz w:val="32"/>
          <w:szCs w:val="32"/>
        </w:rPr>
        <w:t>酒业分公司</w:t>
      </w:r>
    </w:p>
    <w:p w:rsidR="009A2A5A" w:rsidRPr="00FF2BBE" w:rsidRDefault="00FF2BBE" w:rsidP="00FF2BBE">
      <w:pPr>
        <w:widowControl/>
        <w:adjustRightInd w:val="0"/>
        <w:snapToGrid w:val="0"/>
        <w:spacing w:line="520" w:lineRule="exact"/>
        <w:ind w:right="640"/>
        <w:jc w:val="center"/>
        <w:rPr>
          <w:rFonts w:ascii="仿宋_GB2312" w:eastAsia="仿宋_GB2312" w:hAnsi="仿宋" w:cs="宋体"/>
          <w:sz w:val="32"/>
          <w:szCs w:val="32"/>
        </w:rPr>
      </w:pPr>
      <w:r>
        <w:rPr>
          <w:rFonts w:ascii="仿宋_GB2312" w:eastAsia="仿宋_GB2312" w:hAnsi="仿宋" w:cs="宋体"/>
          <w:sz w:val="32"/>
          <w:szCs w:val="32"/>
        </w:rPr>
        <w:t xml:space="preserve">                     </w:t>
      </w:r>
      <w:r w:rsidR="002E1DA2">
        <w:rPr>
          <w:rFonts w:ascii="仿宋_GB2312" w:eastAsia="仿宋_GB2312" w:hAnsi="仿宋" w:cs="宋体" w:hint="eastAsia"/>
          <w:sz w:val="32"/>
          <w:szCs w:val="32"/>
        </w:rPr>
        <w:t>2021年9月</w:t>
      </w:r>
      <w:r w:rsidR="00224B41">
        <w:rPr>
          <w:rFonts w:ascii="仿宋_GB2312" w:eastAsia="仿宋_GB2312" w:hAnsi="仿宋" w:cs="宋体"/>
          <w:sz w:val="32"/>
          <w:szCs w:val="32"/>
        </w:rPr>
        <w:t>2</w:t>
      </w:r>
      <w:r w:rsidR="00973DBF">
        <w:rPr>
          <w:rFonts w:ascii="仿宋_GB2312" w:eastAsia="仿宋_GB2312" w:hAnsi="仿宋" w:cs="宋体"/>
          <w:sz w:val="32"/>
          <w:szCs w:val="32"/>
        </w:rPr>
        <w:t>5</w:t>
      </w:r>
      <w:r w:rsidR="002E1DA2">
        <w:rPr>
          <w:rFonts w:ascii="仿宋_GB2312" w:eastAsia="仿宋_GB2312" w:hAnsi="仿宋" w:cs="宋体" w:hint="eastAsia"/>
          <w:sz w:val="32"/>
          <w:szCs w:val="32"/>
        </w:rPr>
        <w:t>日</w:t>
      </w:r>
    </w:p>
    <w:sectPr w:rsidR="009A2A5A" w:rsidRPr="00FF2BBE" w:rsidSect="00224B41">
      <w:footerReference w:type="even" r:id="rId8"/>
      <w:footerReference w:type="default" r:id="rId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214" w:rsidRDefault="00DD6214">
      <w:r>
        <w:separator/>
      </w:r>
    </w:p>
  </w:endnote>
  <w:endnote w:type="continuationSeparator" w:id="0">
    <w:p w:rsidR="00DD6214" w:rsidRDefault="00DD6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106C4395-B568-4747-931F-44824DE2514A}"/>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87F6320F-A55E-4C44-AA27-19257A52FAB4}"/>
  </w:font>
  <w:font w:name="仿宋_GB2312">
    <w:panose1 w:val="02010609030101010101"/>
    <w:charset w:val="86"/>
    <w:family w:val="modern"/>
    <w:pitch w:val="fixed"/>
    <w:sig w:usb0="00000001" w:usb1="080E0000" w:usb2="00000010" w:usb3="00000000" w:csb0="00040000" w:csb1="00000000"/>
    <w:embedRegular r:id="rId3" w:subsetted="1" w:fontKey="{9A72E167-A8B5-4389-8D52-0C7CA8EBDFCD}"/>
    <w:embedBold r:id="rId4" w:subsetted="1" w:fontKey="{1AA01CF4-8332-40EF-8C14-4F4FED5BD4DB}"/>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B41" w:rsidRPr="00224B41" w:rsidRDefault="00224B41">
    <w:pPr>
      <w:pStyle w:val="a3"/>
      <w:rPr>
        <w:rFonts w:ascii="宋体" w:eastAsia="宋体" w:hAnsi="宋体"/>
        <w:sz w:val="28"/>
        <w:szCs w:val="28"/>
      </w:rPr>
    </w:pPr>
    <w:r w:rsidRPr="00224B41">
      <w:rPr>
        <w:rFonts w:ascii="宋体" w:eastAsia="宋体" w:hAnsi="宋体" w:hint="eastAsia"/>
        <w:sz w:val="28"/>
        <w:szCs w:val="28"/>
      </w:rPr>
      <w:t>—</w:t>
    </w:r>
    <w:sdt>
      <w:sdtPr>
        <w:rPr>
          <w:rFonts w:ascii="宋体" w:eastAsia="宋体" w:hAnsi="宋体"/>
          <w:sz w:val="28"/>
          <w:szCs w:val="28"/>
        </w:rPr>
        <w:id w:val="725111230"/>
        <w:docPartObj>
          <w:docPartGallery w:val="Page Numbers (Bottom of Page)"/>
          <w:docPartUnique/>
        </w:docPartObj>
      </w:sdtPr>
      <w:sdtEndPr/>
      <w:sdtContent>
        <w:r w:rsidRPr="00224B41">
          <w:rPr>
            <w:rFonts w:ascii="宋体" w:eastAsia="宋体" w:hAnsi="宋体"/>
            <w:sz w:val="28"/>
            <w:szCs w:val="28"/>
          </w:rPr>
          <w:t xml:space="preserve"> </w:t>
        </w:r>
        <w:r w:rsidRPr="00224B41">
          <w:rPr>
            <w:rFonts w:ascii="宋体" w:eastAsia="宋体" w:hAnsi="宋体"/>
            <w:sz w:val="28"/>
            <w:szCs w:val="28"/>
          </w:rPr>
          <w:fldChar w:fldCharType="begin"/>
        </w:r>
        <w:r w:rsidRPr="00224B41">
          <w:rPr>
            <w:rFonts w:ascii="宋体" w:eastAsia="宋体" w:hAnsi="宋体"/>
            <w:sz w:val="28"/>
            <w:szCs w:val="28"/>
          </w:rPr>
          <w:instrText>PAGE   \* MERGEFORMAT</w:instrText>
        </w:r>
        <w:r w:rsidRPr="00224B41">
          <w:rPr>
            <w:rFonts w:ascii="宋体" w:eastAsia="宋体" w:hAnsi="宋体"/>
            <w:sz w:val="28"/>
            <w:szCs w:val="28"/>
          </w:rPr>
          <w:fldChar w:fldCharType="separate"/>
        </w:r>
        <w:r w:rsidRPr="00224B41">
          <w:rPr>
            <w:rFonts w:ascii="宋体" w:eastAsia="宋体" w:hAnsi="宋体"/>
            <w:sz w:val="28"/>
            <w:szCs w:val="28"/>
            <w:lang w:val="zh-CN"/>
          </w:rPr>
          <w:t>2</w:t>
        </w:r>
        <w:r w:rsidRPr="00224B41">
          <w:rPr>
            <w:rFonts w:ascii="宋体" w:eastAsia="宋体" w:hAnsi="宋体"/>
            <w:sz w:val="28"/>
            <w:szCs w:val="28"/>
          </w:rPr>
          <w:fldChar w:fldCharType="end"/>
        </w:r>
        <w:r w:rsidRPr="00224B41">
          <w:rPr>
            <w:rFonts w:ascii="宋体" w:eastAsia="宋体" w:hAnsi="宋体"/>
            <w:sz w:val="28"/>
            <w:szCs w:val="28"/>
          </w:rPr>
          <w:t xml:space="preserve"> </w:t>
        </w:r>
        <w:r w:rsidRPr="00224B41">
          <w:rPr>
            <w:rFonts w:ascii="宋体" w:eastAsia="宋体" w:hAnsi="宋体" w:hint="eastAsia"/>
            <w:sz w:val="28"/>
            <w:szCs w:val="28"/>
          </w:rPr>
          <w:t>—</w:t>
        </w:r>
      </w:sdtContent>
    </w:sdt>
  </w:p>
  <w:p w:rsidR="00224B41" w:rsidRDefault="00224B4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B41" w:rsidRPr="00224B41" w:rsidRDefault="00224B41" w:rsidP="00224B41">
    <w:pPr>
      <w:pStyle w:val="a3"/>
      <w:ind w:left="720"/>
      <w:jc w:val="right"/>
      <w:rPr>
        <w:rFonts w:ascii="宋体" w:eastAsia="宋体" w:hAnsi="宋体"/>
        <w:sz w:val="28"/>
        <w:szCs w:val="28"/>
      </w:rPr>
    </w:pPr>
    <w:r>
      <w:rPr>
        <w:rFonts w:hint="eastAsia"/>
      </w:rPr>
      <w:t xml:space="preserve"> </w:t>
    </w:r>
    <w:r w:rsidRPr="00224B41">
      <w:rPr>
        <w:rFonts w:ascii="宋体" w:eastAsia="宋体" w:hAnsi="宋体"/>
        <w:sz w:val="28"/>
        <w:szCs w:val="28"/>
      </w:rPr>
      <w:t xml:space="preserve"> </w:t>
    </w:r>
    <w:r w:rsidRPr="00224B41">
      <w:rPr>
        <w:rFonts w:ascii="宋体" w:eastAsia="宋体" w:hAnsi="宋体" w:hint="eastAsia"/>
        <w:sz w:val="28"/>
        <w:szCs w:val="28"/>
      </w:rPr>
      <w:t>—</w:t>
    </w:r>
    <w:sdt>
      <w:sdtPr>
        <w:rPr>
          <w:rFonts w:ascii="宋体" w:eastAsia="宋体" w:hAnsi="宋体"/>
          <w:sz w:val="28"/>
          <w:szCs w:val="28"/>
        </w:rPr>
        <w:id w:val="1480112273"/>
        <w:docPartObj>
          <w:docPartGallery w:val="Page Numbers (Bottom of Page)"/>
          <w:docPartUnique/>
        </w:docPartObj>
      </w:sdtPr>
      <w:sdtEndPr/>
      <w:sdtContent>
        <w:r w:rsidRPr="00224B41">
          <w:rPr>
            <w:rFonts w:ascii="宋体" w:eastAsia="宋体" w:hAnsi="宋体"/>
            <w:sz w:val="28"/>
            <w:szCs w:val="28"/>
          </w:rPr>
          <w:t xml:space="preserve"> </w:t>
        </w:r>
        <w:r w:rsidRPr="00224B41">
          <w:rPr>
            <w:rFonts w:ascii="宋体" w:eastAsia="宋体" w:hAnsi="宋体"/>
            <w:sz w:val="28"/>
            <w:szCs w:val="28"/>
          </w:rPr>
          <w:fldChar w:fldCharType="begin"/>
        </w:r>
        <w:r w:rsidRPr="00224B41">
          <w:rPr>
            <w:rFonts w:ascii="宋体" w:eastAsia="宋体" w:hAnsi="宋体"/>
            <w:sz w:val="28"/>
            <w:szCs w:val="28"/>
          </w:rPr>
          <w:instrText>PAGE   \* MERGEFORMAT</w:instrText>
        </w:r>
        <w:r w:rsidRPr="00224B41">
          <w:rPr>
            <w:rFonts w:ascii="宋体" w:eastAsia="宋体" w:hAnsi="宋体"/>
            <w:sz w:val="28"/>
            <w:szCs w:val="28"/>
          </w:rPr>
          <w:fldChar w:fldCharType="separate"/>
        </w:r>
        <w:r w:rsidRPr="00224B41">
          <w:rPr>
            <w:rFonts w:ascii="宋体" w:eastAsia="宋体" w:hAnsi="宋体"/>
            <w:sz w:val="28"/>
            <w:szCs w:val="28"/>
            <w:lang w:val="zh-CN"/>
          </w:rPr>
          <w:t>2</w:t>
        </w:r>
        <w:r w:rsidRPr="00224B41">
          <w:rPr>
            <w:rFonts w:ascii="宋体" w:eastAsia="宋体" w:hAnsi="宋体"/>
            <w:sz w:val="28"/>
            <w:szCs w:val="28"/>
          </w:rPr>
          <w:fldChar w:fldCharType="end"/>
        </w:r>
        <w:r w:rsidRPr="00224B41">
          <w:rPr>
            <w:rFonts w:ascii="宋体" w:eastAsia="宋体" w:hAnsi="宋体"/>
            <w:sz w:val="28"/>
            <w:szCs w:val="28"/>
          </w:rPr>
          <w:t xml:space="preserve"> </w:t>
        </w:r>
        <w:r w:rsidRPr="00224B41">
          <w:rPr>
            <w:rFonts w:ascii="宋体" w:eastAsia="宋体" w:hAnsi="宋体" w:hint="eastAsia"/>
            <w:sz w:val="28"/>
            <w:szCs w:val="28"/>
          </w:rPr>
          <w:t>—</w:t>
        </w:r>
      </w:sdtContent>
    </w:sdt>
  </w:p>
  <w:p w:rsidR="009A2A5A" w:rsidRDefault="009A2A5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214" w:rsidRDefault="00DD6214">
      <w:r>
        <w:separator/>
      </w:r>
    </w:p>
  </w:footnote>
  <w:footnote w:type="continuationSeparator" w:id="0">
    <w:p w:rsidR="00DD6214" w:rsidRDefault="00DD6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A24A1"/>
    <w:multiLevelType w:val="hybridMultilevel"/>
    <w:tmpl w:val="B502C156"/>
    <w:lvl w:ilvl="0" w:tplc="59C691F4">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73D86DF3"/>
    <w:multiLevelType w:val="hybridMultilevel"/>
    <w:tmpl w:val="BB80BE1C"/>
    <w:lvl w:ilvl="0" w:tplc="344C9EA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TrueTypeFonts/>
  <w:saveSubset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2F2"/>
    <w:rsid w:val="0009764C"/>
    <w:rsid w:val="001A5FFC"/>
    <w:rsid w:val="00224B41"/>
    <w:rsid w:val="002677C6"/>
    <w:rsid w:val="002E1DA2"/>
    <w:rsid w:val="00545BD2"/>
    <w:rsid w:val="00584849"/>
    <w:rsid w:val="005B5AE6"/>
    <w:rsid w:val="006012F2"/>
    <w:rsid w:val="00630B6B"/>
    <w:rsid w:val="006E56CA"/>
    <w:rsid w:val="007348ED"/>
    <w:rsid w:val="008B3BF1"/>
    <w:rsid w:val="00973DBF"/>
    <w:rsid w:val="009A2A5A"/>
    <w:rsid w:val="009E4166"/>
    <w:rsid w:val="00B3514E"/>
    <w:rsid w:val="00BC3909"/>
    <w:rsid w:val="00DD6214"/>
    <w:rsid w:val="00ED0D0B"/>
    <w:rsid w:val="00EE19CB"/>
    <w:rsid w:val="00FF2BBE"/>
    <w:rsid w:val="020D65FA"/>
    <w:rsid w:val="06BE5193"/>
    <w:rsid w:val="0CC92EE4"/>
    <w:rsid w:val="0F30552B"/>
    <w:rsid w:val="139E7EB8"/>
    <w:rsid w:val="163E234F"/>
    <w:rsid w:val="16A16F17"/>
    <w:rsid w:val="17F2FF64"/>
    <w:rsid w:val="18ED769C"/>
    <w:rsid w:val="214C33E9"/>
    <w:rsid w:val="2A25608A"/>
    <w:rsid w:val="2B7D286A"/>
    <w:rsid w:val="2D145F5B"/>
    <w:rsid w:val="2FCB5B2A"/>
    <w:rsid w:val="3855205C"/>
    <w:rsid w:val="466E753A"/>
    <w:rsid w:val="53843FFC"/>
    <w:rsid w:val="67147569"/>
    <w:rsid w:val="6A634E25"/>
    <w:rsid w:val="748763C6"/>
    <w:rsid w:val="766E7664"/>
    <w:rsid w:val="7C7F4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C2ECD"/>
  <w15:docId w15:val="{220059F8-2F30-431C-9FA5-3FC7E5C3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table" w:styleId="a5">
    <w:name w:val="Table Grid"/>
    <w:basedOn w:val="a1"/>
    <w:uiPriority w:val="5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semiHidden/>
    <w:qFormat/>
    <w:rPr>
      <w:rFonts w:ascii="宋体" w:eastAsia="宋体" w:hAnsi="宋体" w:cs="Times New Roman"/>
      <w:b/>
      <w:kern w:val="0"/>
      <w:sz w:val="27"/>
      <w:szCs w:val="27"/>
    </w:rPr>
  </w:style>
  <w:style w:type="character" w:customStyle="1" w:styleId="a4">
    <w:name w:val="页脚 字符"/>
    <w:basedOn w:val="a0"/>
    <w:link w:val="a3"/>
    <w:uiPriority w:val="99"/>
    <w:qFormat/>
    <w:rPr>
      <w:sz w:val="18"/>
      <w:szCs w:val="18"/>
    </w:rPr>
  </w:style>
  <w:style w:type="paragraph" w:styleId="a6">
    <w:name w:val="header"/>
    <w:basedOn w:val="a"/>
    <w:link w:val="a7"/>
    <w:uiPriority w:val="99"/>
    <w:unhideWhenUsed/>
    <w:rsid w:val="00224B4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24B4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570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王婷</dc:creator>
  <cp:lastModifiedBy>HUAWEI</cp:lastModifiedBy>
  <cp:revision>5</cp:revision>
  <cp:lastPrinted>2021-09-25T11:08:00Z</cp:lastPrinted>
  <dcterms:created xsi:type="dcterms:W3CDTF">2021-09-12T09:44:00Z</dcterms:created>
  <dcterms:modified xsi:type="dcterms:W3CDTF">2021-09-25T11:17:00Z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07414DCAD02F46578D4FD4F7A3374FB1</vt:lpwstr>
  </property>
</Properties>
</file>