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</w:rPr>
        <w:t>2021年军队文职统一考试《专业科目》经济学类—会计学试题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一、单项选择题。根据题目要求，在选项中选出恰当的选项。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洛伦兹曲线成为通过原点的45度线，说明收入分配（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A、完全平等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B、完全不平等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C、贫富差距过大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D、贫富差距不大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下列不属于我国法律渊源的是（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A、《中华人民共和国立法法》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B、《中华人民共和国宪法》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C、《联合国宪章》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D、某大学的章程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甲公司注册了商标“美净”，使用于日用化妆品等商品上，下列选项正确的是（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A、甲公司要将该商标改成“净美”，应向商标局提出变更申请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B、乙公司在化妆品上擅自使用“美净”为商标，甲公司有权禁止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C、甲公司因经营不善连续三年停止使用该商标，该商标可能被注销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D、甲公司签订该商标转让合同后，应单独向商标局提出转让申请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2020年12月11日召开的政治局会议上，首次提出“强化反垄断和防止资本无序扩张”。下列说法正确的是（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A、垄断和资本无序扩张是经济陷于需求不足的根本原因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B、反垄断是为了鼓励公平竞争，保护消费者权益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C、防止资本无序扩张是为了抑制市场负外部性，防范系统性风险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D、反垄断是为了鼓励创新，为创新提供更好的规则环境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E、防止资本无序扩张主要目的是为了规范促进供给侧改革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影响需求的价格弹性的因素有（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A、商品用途的广泛性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B、商品对消费者的重要程度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C、商品的消费支出在消费者预算总支出中所占的比重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D、所考察的消费者调节需求的时间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E、商品的可替代性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下列选项中，属于会计主体假设的意义的是（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A、为会计核算提供了必要手段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B、使会计人员可以选择适用的会计原则和会计方法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C、为会计核算确定了会计期间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D、明确了会计确认、计量和报告的空间范围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某公司每天正常耗用A零件10件，订货提前期为10天，预计最大日耗用量为20件，预计最长收货时间为25天，则该公司的保险储备和再订货点分别是（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A、200件和300件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B、250件和300件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C、250件和400件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D、300件和200件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以下不属于调整账户的是（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A、累计折旧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B、长期待摊费用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C、固定资产减值准备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D、材料成本差异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会计科目按照会计要素（即经济内容）分类，“本年利润”科目属于（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A、资产类科目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B、所有者权益科目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C、成本类科目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D、损益类科目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某公司采购员出差后到财务部门报销差旅费，退回现金200元整（原预借差旅费4200元），该笔业务应编制的是（    ）对应关系的会计分录。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A、一借一贷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B、一借多贷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C、一贷多借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D、多借多贷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甲企业2020年7月15日自行建造的一条生产线投入使用，该生产线建造成本为180万元，预计使用年限为5年，预计净残值为12万元。在采用双倍余额递减法计提折旧的情况下，2021年该设备应计提的折旧额是（    ）万元。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A、67.2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B、60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C、57.6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D、56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下列时期需要进行全面财产清查的情况是（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A、更换库存现金保管人员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B、年终决算前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C、发生在途物资损毁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D、库存商品变动频繁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下列既属于记录经济业务发生或完成情况的书面证明，也属于登记账簿依据的是（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A、原始凭证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B、记账凭证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C、会计凭证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D、会计账簿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甲企业2020年12月31日银行存款日记账的余额为554120元，银行对账单的余额为549320元，经逐笔核对，发现以下未达账项：</w:t>
      </w:r>
    </w:p>
    <w:p>
      <w:r>
        <w:rPr>
          <w:rFonts w:hint="default"/>
        </w:rPr>
        <w:t>（1）收到转账支票8600元，企业已入账，但银行尚未记账。</w:t>
      </w:r>
    </w:p>
    <w:p>
      <w:r>
        <w:rPr>
          <w:rFonts w:hint="default"/>
        </w:rPr>
        <w:t>（2）银行托收企业水电费3000元，银行已支付，但企业尚未收到银行付款通知。</w:t>
      </w:r>
    </w:p>
    <w:p>
      <w:r>
        <w:rPr>
          <w:rFonts w:hint="default"/>
        </w:rPr>
        <w:t>（3）开出转账支票4800元，企业已入账，但持票单位尚未到银行办理转账。</w:t>
      </w:r>
    </w:p>
    <w:p>
      <w:r>
        <w:rPr>
          <w:rFonts w:hint="default"/>
        </w:rPr>
        <w:t>（4）第四季度利息收入2000元，银行已记账，企业尚未记账。</w:t>
      </w:r>
    </w:p>
    <w:p>
      <w:r>
        <w:rPr>
          <w:rFonts w:hint="default"/>
        </w:rPr>
        <w:t>根据以上材料，下列说法错误的是（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A、经调节后的银行存款日记账余额为553120元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B、调节后的余额一般认为是该企业对账日银行实际可用的存款数额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C、企业应该依据银行余额调节表登记入账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D、银行余额调节表应由会计编制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某公司记账后发现账簿记录中有一笔金额为3475元的采购业务误记为3457元，误记的原因是记账企业金额记录错误。下列各项中，属于该公司应采用的正确错帐更正方法的是（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A、补充登记法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B、划线更正法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C、更正账页法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D、红字更正法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2020年会计年度结束后，A公司按照规定于2021年4月30日编制了会计报告，并于5月31日前，将会计凭证、会计账簿、会计报告一起整理归档。下列关于A公司会计档案保管期限说法正确的是（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A、A公司会计档案保管开始时间自2021年4月30日起算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B、A公司会计档案保管开始时间自2021年5月31日起算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C、A公司会计档案保管开始时间自2021年3月31日起算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D、A公司会计档案保管开始时间自2020年12月31日起算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编制资产负债表时，需要根据总账账户和明细账户余额分析计算填列的是（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A、应付账款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B、货币资金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C、长期借款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D、实收资本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（    ）是我国会计准则的制定机构。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A、财政部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B、中国会计准则委员会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C、政府会计准则委员会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D、中国会计学会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对会计等式“资产负债+所有者权益”的描述中，以下说法不正确的是（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A、在某一特定时点企业资产的基本状况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B、资产、负债及所有者权益是构成资产负债表的三个基本要素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C、在某一特定时期企业资产的基本状况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D、反映了资金运动三个静态要素之间的内在联系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已知甲公司2020年的销售收入为5000万元，销售净利率为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，利润留存率为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，预计2021年销售收入将增加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，其他条件保持不变，则2021年甲公司的内部筹资额是（    ）万元。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A、300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C、330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D、220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下列各项中，关于借贷记账法说法错误的是（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A、借贷记账法是复式记账法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B、借方表示会计主体资金增加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C、借贷记账法起源于欧洲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D、有借必有贷，借贷必相等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在公司成立后再融资时，上市公司定向增发和非上市公司定向增发相比较，上市公司定向增发的优点不包括（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A、定向增发是一种主要的并购手段，特别是资产并购定向增发，有利于集团企业整体上市，并同时减轻并购的现金流压力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B、有利于引入战略投资者和机构投资者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C、有利于利用上市公司的市场化估值溢价，将母公司资产通过市场放大，从而提升母公司的资产价值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D、有利于保持公司控制权分布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某公司从租赁公司租入一台设备，价值100万元，租期5年，租赁期满预计残值5万元，归租赁公司，租赁的折现率为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，租金在每年年初支付，则每期租金是（    ）元。其中，（</w:t>
      </w:r>
      <w:r>
        <w:rPr>
          <w:rFonts w:hint="default"/>
        </w:rPr>
        <w:drawing>
          <wp:inline distT="0" distB="0" distL="114300" distR="114300">
            <wp:extent cx="266700" cy="17145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）</w:t>
      </w:r>
      <w:r>
        <w:rPr>
          <w:rFonts w:hint="default"/>
        </w:rPr>
        <w:drawing>
          <wp:inline distT="0" distB="0" distL="114300" distR="114300">
            <wp:extent cx="504825" cy="171450"/>
            <wp:effectExtent l="0" t="0" r="9525" b="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，（</w:t>
      </w:r>
      <w:r>
        <w:rPr>
          <w:rFonts w:hint="default"/>
        </w:rPr>
        <w:drawing>
          <wp:inline distT="0" distB="0" distL="114300" distR="114300">
            <wp:extent cx="257175" cy="171450"/>
            <wp:effectExtent l="0" t="0" r="9525" b="0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00075" cy="171450"/>
            <wp:effectExtent l="0" t="0" r="9525" b="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A、232370.00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B、276543.12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C、223415.24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D、212345.66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财务管理目标是一切财务活动的出发点和归宿。从风险角度看，以下财务管理目标中，（    ）没有考虑风险因素。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A、利润最大化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B、公司价值最大化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C、股东财富最大化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D、相关者利益最大化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甲公司每月平均现金需求量为100万元，有价证券月利率为</w:t>
      </w:r>
      <w:r>
        <w:rPr>
          <w:rFonts w:hint="default"/>
        </w:rPr>
        <w:drawing>
          <wp:inline distT="0" distB="0" distL="114300" distR="114300">
            <wp:extent cx="171450" cy="171450"/>
            <wp:effectExtent l="0" t="0" r="0" b="0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，假定公司将现金管理相关总成本控制目标设定为6000元。根据上述材料，完成下列各题。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为了实现现金管理成本控制目标，甲公司有价证券每次转换成本不能超过（    ）元。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A、180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B、1800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C、1000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D、600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下列各项中，关于甲公司最佳现金余额、最佳现金交易次数、最佳证券交易间隔期说法正确的是（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A、最佳有价证券交易间隔期为30天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B、最佳现金交易次数为1.85次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C、最佳现金余额为60万元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D、最佳现金交易次数与市场行情有关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甲企业为增值税小规模纳税人，适用的增值税税率为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13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，企业所得税税率为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1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6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。2020年度发生如下经济业务：</w:t>
      </w:r>
    </w:p>
    <w:p>
      <w:r>
        <w:rPr>
          <w:rFonts w:hint="default"/>
        </w:rPr>
        <w:t>（1）2020年7月15日购入的一台需要安装的A设备，价款8万元，增值税额10400元，运杂费支出2600元，用银行存款支付安装费4000元，领用工程物资6000元。该设备2020年8月10日安装完毕交付使用。</w:t>
      </w:r>
    </w:p>
    <w:p>
      <w:r>
        <w:rPr>
          <w:rFonts w:hint="default"/>
        </w:rPr>
        <w:t>（2）2020年9月30日出售一台B设备，该设备账面原价为10万元，已计提折旧5万元，计提减值准备1万元，出售时用银行存款支付清理费用1600元，收到设备变价收入2万元，存入银行。</w:t>
      </w:r>
    </w:p>
    <w:p>
      <w:r>
        <w:rPr>
          <w:rFonts w:hint="default"/>
        </w:rPr>
        <w:t>根据上述经济业务，不考虑其他相关因素，分析回答下列问题。（答案中金额单位用元表示）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根据业务（1），下列会计分录错误的是（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A、设备交付使用：借：固定资产103000 贷：在建工程103000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B、支付安装费：借：在建工程4000 贷：银行存款4000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C、领用工程物资：借：在建工程6000 贷：工程物资6000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D、购入设备时：借：固定资产93000 贷：银行存款93000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A设备预计使用年限5年，预计净残值4000元，采用年数总和法计提折旧，则A设备2020年应计提折旧是（    ）元。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A、14305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B、13750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C、11444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D、11000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根据业务（2），下列会计分录错误的是（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A、注销设备原值、减值准备和累计折旧：借：固定资产清理4000固定资产减值准备10000累计折旧50000贷：固定资产100000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B、结转固定资产净损失：借：固定资产清理21600贷：资产处置损益21600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C、收到变价收入：借：银行存款20000贷：固定资产清理20000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D、支付清理费用：借：固定资产清理1600贷：银行存款1600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（三）</w:t>
      </w:r>
    </w:p>
    <w:p>
      <w:r>
        <w:rPr>
          <w:rFonts w:hint="default"/>
        </w:rPr>
        <w:t>假设某企业每年需外购零件3600千克，该零件单位价格为12元，单位储存变动成本20元，一次订货成本25元，单位缺货成本120元，企业目前建立的保险储备量是30千克。建立保险储备时，最小增量为10千克。在交货期内的需要量及其概率如下：（计算结果保留整数）</w:t>
      </w:r>
    </w:p>
    <w:p>
      <w:r>
        <w:rPr>
          <w:rFonts w:hint="default"/>
        </w:rPr>
        <w:drawing>
          <wp:inline distT="0" distB="0" distL="114300" distR="114300">
            <wp:extent cx="4905375" cy="1685925"/>
            <wp:effectExtent l="0" t="0" r="9525" b="9525"/>
            <wp:docPr id="1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7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计算年最优订货次数是（    ）次。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A、98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B、95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C、38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D、35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按企业目前的保险储备标准，存货水平是（    ）千克时应补充订货。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A、70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B、80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D、90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t>该企业最佳保险储备是（    ）千克。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D、30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（四）</w:t>
      </w:r>
    </w:p>
    <w:p>
      <w:r>
        <w:rPr>
          <w:rFonts w:hint="default"/>
        </w:rPr>
        <w:t>公司是一家汽车制造企业，2020年10月发生的原材料采购业有：</w:t>
      </w:r>
    </w:p>
    <w:p>
      <w:r>
        <w:rPr>
          <w:rFonts w:hint="default"/>
        </w:rPr>
        <w:t>（1）10月8日，C公司从D公司购入下列材料：甲材料2500千克，单价12元；乙材科1000千克，单价9.5元，增值税税率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16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7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，全部款项用银行存款付清。</w:t>
      </w:r>
    </w:p>
    <w:p>
      <w:r>
        <w:rPr>
          <w:rFonts w:hint="default"/>
        </w:rPr>
        <w:t>（2）10月12日，C公司用银行存款3500元支付上述购入甲、乙材料的外地运杂费，按照材料的重量比例进行分配。</w:t>
      </w:r>
    </w:p>
    <w:p>
      <w:r>
        <w:rPr>
          <w:rFonts w:hint="default"/>
        </w:rPr>
        <w:t>（3）10月18日，C公司从E公司购进丙材料2400千克，发票注明的价款72000元，增值税进项税额9360元，E公司代C公司垫付材料的运杂费2000元。账单、发票已到，但材料价款、税金及运杂费尚未支付。</w:t>
      </w:r>
    </w:p>
    <w:p>
      <w:r>
        <w:rPr>
          <w:rFonts w:hint="default"/>
        </w:rPr>
        <w:t>（4）10月28日，甲、乙和丙三种材料验收入库。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根据业务（3）编制的会计分录正确的是（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A、借：在途物资——丙材料74000 应交税费——应交增值税（进项税额）9360 贷：应付账款——E公司83360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B、借：原材料——丙材料74000 应交税费——应交增值税（进项税额）9360 贷：应付账款——E公司83360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C、借：在途物资——丙材料72000 应交税费——应交增值税（进项税额）9360 贷：应付账款——E公司81360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D、借：在途物资——丙材料72000 应交税费——应交增值税（进项税额）9360 贷：应付账款——E公司81360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根据业务（1）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0" b="0"/>
            <wp:docPr id="17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7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（4），甲、乙两种材料的实际采购成本分别是（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A、33900元、10735元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B、30000元、9500元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C、32500元、10500元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D、33900元、9500元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（五）</w:t>
      </w:r>
    </w:p>
    <w:p>
      <w:r>
        <w:rPr>
          <w:rFonts w:hint="default"/>
        </w:rPr>
        <w:t>A公司2020年度的有关资料如下：</w:t>
      </w:r>
    </w:p>
    <w:p>
      <w:r>
        <w:rPr>
          <w:rFonts w:hint="default"/>
        </w:rPr>
        <w:t>（1）年初未分配利润为100万元，本年实现的利润总额为920万元，适用的所得税税率为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18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7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，该企业当年按税法核定的全年计税工资为400万元，全年实发工资为360万元，无其他纳税调整事项。</w:t>
      </w:r>
    </w:p>
    <w:p>
      <w:r>
        <w:rPr>
          <w:rFonts w:hint="default"/>
        </w:rPr>
        <w:t>（2）该企业按税后利润的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19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提取法定盈余公积金。</w:t>
      </w:r>
    </w:p>
    <w:p>
      <w:r>
        <w:rPr>
          <w:rFonts w:hint="default"/>
        </w:rPr>
        <w:t>（3）该企业提取任意盈余公积金30万元。</w:t>
      </w:r>
    </w:p>
    <w:p>
      <w:r>
        <w:rPr>
          <w:rFonts w:hint="default"/>
        </w:rPr>
        <w:t>（4）该企业向投资者分配现金股利50万元。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A公司2020年所得税费用是（    ）万元。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A、90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B、230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C、330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D、320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A公司2020年应提取法定盈余公积是（    ）万元。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A、69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B、59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C、60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D、83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A公司2020年末的未分配利润是（    ）万元。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A、560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B、551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C、641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D、767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（六）</w:t>
      </w:r>
    </w:p>
    <w:p>
      <w:r>
        <w:rPr>
          <w:rFonts w:hint="default"/>
        </w:rPr>
        <w:t>某企业在3月末结账后，有关账户账目金额为：“库存现金”借方余额7000元；“银行存款”借方余额250000元；“原材料”借方余额150000元；“库存商品”借方余额200000元；“生产成本”借方余额185000元；“长期应收款”借方余额100000元；“固定资产”借方余额50000元；“累计折旧”货方余额1000元。计算填列资产负债表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下列项目中，不属于资产负债表中“流动资产”项目的是（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A、银行存款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B、生产成本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C、长期应收账款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D、库存商品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资产负债表中“存货”的金额是（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A、20万元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B、35万元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C、45万元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D、53.5万元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在编制资产负债表时，“累计折旧”账户余额的内容应填列在（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A、资产方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B、权益方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C、负债方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D、贷方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二、多项选择题。每小题后的备选答案中有两个或两个以上符合题意的答案。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（七）</w:t>
      </w:r>
    </w:p>
    <w:p>
      <w:r>
        <w:rPr>
          <w:rFonts w:hint="default"/>
        </w:rPr>
        <w:t>某公司2020年10月份产品生产的有关资料如下：</w:t>
      </w:r>
    </w:p>
    <w:p>
      <w:r>
        <w:rPr>
          <w:rFonts w:hint="default"/>
        </w:rPr>
        <w:t>（1）月末M、N两种产品全部完工，并验收入库。有关生产费用统计，如下表所示：（单位：元）</w:t>
      </w:r>
    </w:p>
    <w:p>
      <w:r>
        <w:rPr>
          <w:rFonts w:hint="default"/>
        </w:rPr>
        <w:drawing>
          <wp:inline distT="0" distB="0" distL="114300" distR="114300">
            <wp:extent cx="5019675" cy="1162050"/>
            <wp:effectExtent l="0" t="0" r="9525" b="0"/>
            <wp:docPr id="20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7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</w:rPr>
        <w:t>（2）生产工人福利费按实际发生额计算（占工资总额的14%）。</w:t>
      </w:r>
    </w:p>
    <w:p>
      <w:r>
        <w:rPr>
          <w:rFonts w:hint="default"/>
        </w:rPr>
        <w:t>（3）本月共发生制制造费用13500元，按生产工人工资比例分配。</w:t>
      </w:r>
    </w:p>
    <w:p>
      <w:r>
        <w:rPr>
          <w:rFonts w:hint="default"/>
        </w:rPr>
        <w:t>（4）N产品的月初在产品成本7000元。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在借贷记账法下，下列关于“生产成本”账户结构描述正确的有（ 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A、贷方登记增加额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B、借方登记减少额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C、期末余额一般在借方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D、可能期末没有余额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E、可能期末有余额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t>固定资产总账与固定资产明细账平行登记的要点包括（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A、会计记账人员为同一人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B、会计记账时间为同一天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C、会计记账方向相同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D、会计记账金额相等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E、会计记账帐页格式一致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下列业务中，资产和所有者权益同时变化的有（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A、收到所有者的投资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B、提取盈余公积金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C、将资本公积转增资本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D、所有者以货币形式从企业抽走部分投资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E、支付现金股利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下列各项不会引起利润总额增减变化的有（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A、所得税费用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B、提取盈余公积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C、营业外收入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D、营业税金及附加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E、财务费用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关于杠杆产生的原因，下列说法正确的有（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A、营业杠杆是由于企业经营成本中固定成本的存在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B、财务杠杆是由于企业债务资产中固定费用的存在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C、营业杠杆引起息税前利润变动率大于营业收入变动率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D、财务杠杆引起普通股每股收益变动率大于息税前利润变动率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E、联合杠杆是营业杠杆和财务杠杆的综合影响</w:t>
      </w:r>
    </w:p>
    <w:p/>
    <w:p>
      <w:r>
        <w:rPr>
          <w:rFonts w:hint="default"/>
        </w:rP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4、BCDE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5、ABCDE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41、CDE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42、CD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43、AD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44、AB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45、ABCDE</w:t>
      </w:r>
    </w:p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21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4nsaoaGCAN0P2dVvwryJNyQEAIs=" w:salt="mBsLLq+281kJkCGC5TBQI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939EE"/>
    <w:rsid w:val="0CB939EE"/>
    <w:rsid w:val="1105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jpe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2021-12-08T02:21:00Z</dcterms:created>
  <dc:creator>新文泰教育</dc:creator>
  <cp:lastModifiedBy>新文泰教育</cp:lastModifiedBy>
  <dcterms:modified xsi:type="dcterms:W3CDTF">2021-12-08T02:24:28Z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2F2EF6601EA44F51ACB0D126018E586B</vt:lpwstr>
  </property>
</Properties>
</file>