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巷口</w:t>
      </w:r>
      <w:r>
        <w:rPr>
          <w:rFonts w:hint="eastAsia" w:ascii="黑体" w:hAnsi="黑体" w:eastAsia="黑体"/>
          <w:sz w:val="44"/>
          <w:szCs w:val="44"/>
        </w:rPr>
        <w:t>镇扶贫办招聘工作人员面试提纲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.介绍一下你在原工作单位的工作情况。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.面试这个职位你的优势是？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.由于乡镇工作的特殊性，对于经常加班你的看法是？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.扶贫项目报账率低，上级主管部门催促完成报账，实施单位又迟迟不能完善报账资料。假如你是负责扶贫项目管理的工作人员，你准备怎么做。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5.项目从申报到实施完成要经过哪些流程、注意事项有哪些？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如果把你从这个职位调到另一个职位，你的意愿是？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巷口</w:t>
      </w:r>
      <w:r>
        <w:rPr>
          <w:rFonts w:hint="eastAsia" w:ascii="黑体" w:hAnsi="黑体" w:eastAsia="黑体"/>
          <w:sz w:val="44"/>
          <w:szCs w:val="44"/>
        </w:rPr>
        <w:t>镇扶贫办招聘工作人员面试评分表</w:t>
      </w:r>
    </w:p>
    <w:p>
      <w:pPr>
        <w:jc w:val="left"/>
        <w:rPr>
          <w:rFonts w:hint="eastAsia" w:ascii="黑体" w:hAnsi="黑体" w:eastAsia="黑体"/>
          <w:sz w:val="44"/>
          <w:szCs w:val="44"/>
        </w:rPr>
      </w:pPr>
    </w:p>
    <w:p>
      <w:pPr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 xml:space="preserve">考生姓名：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报考职位：</w:t>
      </w:r>
    </w:p>
    <w:tbl>
      <w:tblPr>
        <w:tblStyle w:val="6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520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评价标准及总分</w:t>
            </w: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计划组织能力，总分20分。能够根据目标对自己、他人、部门的活动做出计划，调配资源，并对冲突各方进行有效协调。好15-20分，中8-14分，差0-7分。</w:t>
            </w: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沟通能力，总分20分。准确地理解他人，清晰的表达自我，有效地影响他人。好15-20分，中8-14分，差0-7分。</w:t>
            </w: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应变能力，20分。在有压力的情境下，思考、解决问题时能够迅速而灵活的转变角度、随机应变、触类旁通，做出正确的判断和处理。好15-20分，中8-14分，差0-7分。</w:t>
            </w: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综合分析能力，20分。能够通过分析、归纳等推理过程，准确理解、把握事物的本质和内在联系，解决问题。好15-20分，中8-14分，差0-7分。</w:t>
            </w: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言语表达能力，1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0分。能够准确无误的表达自己观点，用词准确，表达流畅，有说服力。好8-10分，中5-7分，差0-4分。</w:t>
            </w: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举止仪表，10分。穿着得体，行为不失分寸。好8-10分，中5-7分，差0-4分。</w:t>
            </w: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6520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面试官签名：                    面试日期：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ACD"/>
    <w:rsid w:val="000A5A50"/>
    <w:rsid w:val="00194789"/>
    <w:rsid w:val="00285CEF"/>
    <w:rsid w:val="00385961"/>
    <w:rsid w:val="0040060B"/>
    <w:rsid w:val="00470ED7"/>
    <w:rsid w:val="00534D9B"/>
    <w:rsid w:val="00650999"/>
    <w:rsid w:val="006657EC"/>
    <w:rsid w:val="006D3ACD"/>
    <w:rsid w:val="006F594F"/>
    <w:rsid w:val="00744E60"/>
    <w:rsid w:val="00775179"/>
    <w:rsid w:val="007967CF"/>
    <w:rsid w:val="00840BC2"/>
    <w:rsid w:val="008B3FF3"/>
    <w:rsid w:val="00912CEE"/>
    <w:rsid w:val="00963DBA"/>
    <w:rsid w:val="009704F7"/>
    <w:rsid w:val="009D3199"/>
    <w:rsid w:val="00AB629A"/>
    <w:rsid w:val="00B35ACD"/>
    <w:rsid w:val="00BD5974"/>
    <w:rsid w:val="00CE4ADF"/>
    <w:rsid w:val="00E034ED"/>
    <w:rsid w:val="00EE7285"/>
    <w:rsid w:val="00F064B7"/>
    <w:rsid w:val="00FD5324"/>
    <w:rsid w:val="00FD795D"/>
    <w:rsid w:val="00FF12B4"/>
    <w:rsid w:val="10B62923"/>
    <w:rsid w:val="149C6736"/>
    <w:rsid w:val="15611604"/>
    <w:rsid w:val="2CFF0E58"/>
    <w:rsid w:val="68F74607"/>
    <w:rsid w:val="72D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2018-04-16T01:05:00Z</dcterms:created>
  <dc:creator>PC</dc:creator>
  <cp:lastModifiedBy>龚煜婷</cp:lastModifiedBy>
  <cp:lastPrinted>2018-05-09T05:23:47Z</cp:lastPrinted>
  <dcterms:modified xsi:type="dcterms:W3CDTF">2018-05-09T05:24:35Z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